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00"/>
        <w:spacing w:after="0" w:line="215" w:lineRule="auto"/>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78" w:lineRule="exact"/>
        <w:rPr>
          <w:sz w:val="24"/>
          <w:szCs w:val="24"/>
          <w:color w:val="auto"/>
        </w:rPr>
      </w:pPr>
    </w:p>
    <w:p>
      <w:pPr>
        <w:jc w:val="center"/>
        <w:ind w:left="2520" w:right="820"/>
        <w:spacing w:after="0" w:line="233"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Date of report: September 22, 2025</w:t>
      </w:r>
    </w:p>
    <w:p>
      <w:pPr>
        <w:spacing w:after="0" w:line="1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001-38844</w:t>
      </w:r>
    </w:p>
    <w:p>
      <w:pPr>
        <w:spacing w:after="0" w:line="1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2"/>
          <w:szCs w:val="42"/>
          <w:b w:val="1"/>
          <w:bCs w:val="1"/>
          <w:color w:val="auto"/>
        </w:rPr>
        <w:t>GENFIT S.A.</w:t>
      </w:r>
    </w:p>
    <w:p>
      <w:pPr>
        <w:spacing w:after="0" w:line="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18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Parc Eurasanté</w:t>
      </w:r>
    </w:p>
    <w:p>
      <w:pPr>
        <w:ind w:left="4600"/>
        <w:spacing w:after="0" w:line="200" w:lineRule="auto"/>
        <w:rPr>
          <w:sz w:val="20"/>
          <w:szCs w:val="20"/>
          <w:color w:val="auto"/>
        </w:rPr>
      </w:pPr>
      <w:r>
        <w:rPr>
          <w:rFonts w:ascii="Times New Roman" w:cs="Times New Roman" w:eastAsia="Times New Roman" w:hAnsi="Times New Roman"/>
          <w:sz w:val="18"/>
          <w:szCs w:val="18"/>
          <w:b w:val="1"/>
          <w:bCs w:val="1"/>
          <w:color w:val="auto"/>
        </w:rPr>
        <w:t>885, avenue Eugène Avinée</w:t>
      </w: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59120 Loos, France</w:t>
      </w:r>
    </w:p>
    <w:p>
      <w:pPr>
        <w:spacing w:after="0" w:line="17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45" w:lineRule="exact"/>
        <w:rPr>
          <w:sz w:val="24"/>
          <w:szCs w:val="24"/>
          <w:color w:val="auto"/>
        </w:rPr>
      </w:pPr>
    </w:p>
    <w:p>
      <w:pPr>
        <w:spacing w:after="0" w:line="207" w:lineRule="exact"/>
        <w:tabs>
          <w:tab w:leader="none" w:pos="11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40-F</w:t>
      </w:r>
    </w:p>
    <w:p>
      <w:pPr>
        <w:spacing w:after="0" w:line="18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18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ectPr>
          <w:pgSz w:w="11900" w:h="16838" w:orient="portrait"/>
          <w:cols w:equalWidth="0" w:num="1">
            <w:col w:w="10139"/>
          </w:cols>
          <w:pgMar w:left="320" w:top="1197" w:right="1440" w:bottom="1440" w:gutter="0" w:footer="0" w:header="0"/>
        </w:sectPr>
      </w:pPr>
    </w:p>
    <w:bookmarkStart w:id="1" w:name="page2"/>
    <w:bookmarkEnd w:id="1"/>
    <w:p>
      <w:pPr>
        <w:spacing w:after="0"/>
        <w:rPr>
          <w:sz w:val="20"/>
          <w:szCs w:val="20"/>
          <w:color w:val="auto"/>
        </w:rPr>
      </w:pPr>
      <w:r>
        <w:rPr>
          <w:rFonts w:ascii="Arial" w:cs="Arial" w:eastAsia="Arial" w:hAnsi="Arial"/>
          <w:sz w:val="19"/>
          <w:szCs w:val="19"/>
          <w:b w:val="1"/>
          <w:bCs w:val="1"/>
          <w:color w:val="auto"/>
        </w:rPr>
        <w:t>INCORPORATION BY REFERENCE</w:t>
      </w:r>
    </w:p>
    <w:p>
      <w:pPr>
        <w:spacing w:after="0" w:line="200" w:lineRule="exact"/>
        <w:rPr>
          <w:sz w:val="20"/>
          <w:szCs w:val="20"/>
          <w:color w:val="auto"/>
        </w:rPr>
      </w:pPr>
    </w:p>
    <w:p>
      <w:pPr>
        <w:spacing w:after="0" w:line="3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The contents of this report on Form 6-K (including Exhibit 99.1) are hereby incorporated by reference into the registrant’s registration statement on Form F-3 (File No. 333-271312) and registration statement on Form S-8 (File No. 333-271311) and related prospectuses, as such registration statements and prospectuses may be amended from time to time, and to be a part thereof from the date on which this report is filed, to the extent not superseded by documents or reports subsequently filed or furnished. Information contained on, or that can be accessed through, any website included in Exhibit 99.1 is expressly not incorporated by reference.</w:t>
      </w:r>
    </w:p>
    <w:p>
      <w:pPr>
        <w:sectPr>
          <w:pgSz w:w="11900" w:h="16838" w:orient="portrait"/>
          <w:cols w:equalWidth="0" w:num="1">
            <w:col w:w="10720"/>
          </w:cols>
          <w:pgMar w:left="320" w:top="1322" w:right="859" w:bottom="1440" w:gutter="0" w:footer="0" w:header="0"/>
        </w:sectPr>
      </w:pPr>
    </w:p>
    <w:bookmarkStart w:id="2" w:name="page3"/>
    <w:bookmarkEnd w:id="2"/>
    <w:p>
      <w:pPr>
        <w:jc w:val="right"/>
        <w:ind w:right="3919"/>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3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39370</wp:posOffset>
            </wp:positionV>
            <wp:extent cx="23977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pacing w:after="0" w:line="170"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Half-Year Business and Financial Report</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0000FF"/>
        </w:rPr>
        <w:t>for the period ended June 30, 2025</w:t>
      </w:r>
    </w:p>
    <w:p>
      <w:pPr>
        <w:sectPr>
          <w:pgSz w:w="11900" w:h="16838" w:orient="portrait"/>
          <w:cols w:equalWidth="0" w:num="1">
            <w:col w:w="10119"/>
          </w:cols>
          <w:pgMar w:left="340" w:top="1060" w:right="1440"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GENFIT S.A.</w:t>
      </w:r>
    </w:p>
    <w:p>
      <w:pPr>
        <w:spacing w:after="0" w:line="299" w:lineRule="exact"/>
        <w:rPr>
          <w:sz w:val="20"/>
          <w:szCs w:val="20"/>
          <w:color w:val="auto"/>
        </w:rPr>
      </w:pPr>
    </w:p>
    <w:p>
      <w:pPr>
        <w:ind w:left="80"/>
        <w:spacing w:after="0"/>
        <w:tabs>
          <w:tab w:leader="none" w:pos="5760" w:val="left"/>
          <w:tab w:leader="none" w:pos="6420" w:val="left"/>
        </w:tabs>
        <w:rPr>
          <w:sz w:val="20"/>
          <w:szCs w:val="20"/>
          <w:color w:val="auto"/>
        </w:rPr>
      </w:pPr>
      <w:r>
        <w:rPr>
          <w:rFonts w:ascii="Times New Roman" w:cs="Times New Roman" w:eastAsia="Times New Roman" w:hAnsi="Times New Roman"/>
          <w:sz w:val="18"/>
          <w:szCs w:val="18"/>
          <w:color w:val="auto"/>
        </w:rPr>
        <w:t>Date: September 22,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Pascal PRIGENT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40005</wp:posOffset>
            </wp:positionV>
            <wp:extent cx="31718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Pascal PRIGENT</w:t>
      </w:r>
    </w:p>
    <w:p>
      <w:pPr>
        <w:spacing w:after="0" w:line="8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040"/>
          </w:cols>
          <w:pgMar w:left="320" w:top="1060" w:right="5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8514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514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line="298" w:lineRule="auto"/>
        <w:rPr>
          <w:sz w:val="20"/>
          <w:szCs w:val="20"/>
          <w:color w:val="auto"/>
        </w:rPr>
      </w:pPr>
      <w:r>
        <w:rPr>
          <w:rFonts w:ascii="Arial" w:cs="Arial" w:eastAsia="Arial" w:hAnsi="Arial"/>
          <w:sz w:val="53"/>
          <w:szCs w:val="53"/>
          <w:b w:val="1"/>
          <w:bCs w:val="1"/>
          <w:color w:val="FFFFFF"/>
        </w:rPr>
        <w:t>Half-Year Business and Financial Report</w:t>
      </w:r>
    </w:p>
    <w:p>
      <w:pPr>
        <w:spacing w:after="0" w:line="37" w:lineRule="exact"/>
        <w:rPr>
          <w:sz w:val="20"/>
          <w:szCs w:val="20"/>
          <w:color w:val="auto"/>
        </w:rPr>
      </w:pPr>
    </w:p>
    <w:p>
      <w:pPr>
        <w:ind w:left="3920"/>
        <w:spacing w:after="0"/>
        <w:rPr>
          <w:sz w:val="20"/>
          <w:szCs w:val="20"/>
          <w:color w:val="auto"/>
        </w:rPr>
      </w:pPr>
      <w:r>
        <w:rPr>
          <w:rFonts w:ascii="Arial" w:cs="Arial" w:eastAsia="Arial" w:hAnsi="Arial"/>
          <w:sz w:val="39"/>
          <w:szCs w:val="39"/>
          <w:b w:val="1"/>
          <w:bCs w:val="1"/>
          <w:i w:val="1"/>
          <w:iCs w:val="1"/>
          <w:color w:val="FFFFFF"/>
        </w:rPr>
        <w:t>at June 30, 2025</w:t>
      </w:r>
    </w:p>
    <w:p>
      <w:pPr>
        <w:sectPr>
          <w:pgSz w:w="11900" w:h="16838" w:orient="portrait"/>
          <w:cols w:equalWidth="0" w:num="1">
            <w:col w:w="9820"/>
          </w:cols>
          <w:pgMar w:left="1440" w:top="1440" w:right="639" w:bottom="1440" w:gutter="0" w:footer="0" w:header="0"/>
        </w:sectPr>
      </w:pPr>
    </w:p>
    <w:bookmarkStart w:id="5" w:name="page6"/>
    <w:bookmarkEnd w:id="5"/>
    <w:p>
      <w:pPr>
        <w:spacing w:after="0" w:line="258" w:lineRule="exact"/>
        <w:rPr>
          <w:sz w:val="20"/>
          <w:szCs w:val="20"/>
          <w:color w:val="auto"/>
        </w:rPr>
      </w:pPr>
    </w:p>
    <w:p>
      <w:pPr>
        <w:ind w:left="1058"/>
        <w:spacing w:after="0"/>
        <w:rPr>
          <w:sz w:val="20"/>
          <w:szCs w:val="20"/>
          <w:color w:val="auto"/>
        </w:rPr>
      </w:pPr>
      <w:r>
        <w:rPr>
          <w:rFonts w:ascii="Arial" w:cs="Arial" w:eastAsia="Arial" w:hAnsi="Arial"/>
          <w:sz w:val="27"/>
          <w:szCs w:val="27"/>
          <w:color w:val="00557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68573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ectPr>
          <w:pgSz w:w="11900" w:h="16838" w:orient="portrait"/>
          <w:cols w:equalWidth="0" w:num="1">
            <w:col w:w="10758"/>
          </w:cols>
          <w:pgMar w:left="662" w:top="1440" w:right="47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1078" w:hanging="1078"/>
        <w:spacing w:after="0"/>
        <w:tabs>
          <w:tab w:leader="none" w:pos="1078" w:val="left"/>
        </w:tabs>
        <w:numPr>
          <w:ilvl w:val="0"/>
          <w:numId w:val="1"/>
        </w:numPr>
        <w:rPr>
          <w:rFonts w:ascii="Arial" w:cs="Arial" w:eastAsia="Arial" w:hAnsi="Arial"/>
          <w:sz w:val="21"/>
          <w:szCs w:val="21"/>
          <w:color w:val="57879D"/>
        </w:rPr>
      </w:pPr>
      <w:r>
        <w:rPr>
          <w:rFonts w:ascii="Arial" w:cs="Arial" w:eastAsia="Arial" w:hAnsi="Arial"/>
          <w:sz w:val="21"/>
          <w:szCs w:val="21"/>
          <w:color w:val="57879D"/>
        </w:rPr>
        <w:t>OVERVIEW OF THE GROUP AND ITS MAIN R&amp;D PROGRAMS</w:t>
      </w:r>
    </w:p>
    <w:p>
      <w:pPr>
        <w:spacing w:after="0" w:line="200" w:lineRule="exact"/>
        <w:rPr>
          <w:rFonts w:ascii="Arial" w:cs="Arial" w:eastAsia="Arial" w:hAnsi="Arial"/>
          <w:sz w:val="21"/>
          <w:szCs w:val="21"/>
          <w:color w:val="57879D"/>
        </w:rPr>
      </w:pPr>
    </w:p>
    <w:p>
      <w:pPr>
        <w:spacing w:after="0" w:line="313" w:lineRule="exact"/>
        <w:rPr>
          <w:rFonts w:ascii="Arial" w:cs="Arial" w:eastAsia="Arial" w:hAnsi="Arial"/>
          <w:sz w:val="21"/>
          <w:szCs w:val="21"/>
          <w:color w:val="57879D"/>
        </w:rPr>
      </w:pPr>
    </w:p>
    <w:p>
      <w:pPr>
        <w:ind w:left="1078" w:hanging="1078"/>
        <w:spacing w:after="0"/>
        <w:tabs>
          <w:tab w:leader="none" w:pos="1078" w:val="left"/>
        </w:tabs>
        <w:numPr>
          <w:ilvl w:val="0"/>
          <w:numId w:val="1"/>
        </w:numPr>
        <w:rPr>
          <w:rFonts w:ascii="Arial" w:cs="Arial" w:eastAsia="Arial" w:hAnsi="Arial"/>
          <w:sz w:val="21"/>
          <w:szCs w:val="21"/>
          <w:color w:val="57879D"/>
        </w:rPr>
      </w:pPr>
      <w:r>
        <w:rPr>
          <w:rFonts w:ascii="Arial" w:cs="Arial" w:eastAsia="Arial" w:hAnsi="Arial"/>
          <w:sz w:val="21"/>
          <w:szCs w:val="21"/>
          <w:color w:val="57879D"/>
        </w:rPr>
        <w:t>HALF-YEAR MANAGEMENT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-161290</wp:posOffset>
            </wp:positionV>
            <wp:extent cx="8255" cy="1009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1009650"/>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-640715</wp:posOffset>
            </wp:positionV>
            <wp:extent cx="8255" cy="252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252730"/>
                    </a:xfrm>
                    <a:prstGeom prst="rect">
                      <a:avLst/>
                    </a:prstGeom>
                    <a:noFill/>
                  </pic:spPr>
                </pic:pic>
              </a:graphicData>
            </a:graphic>
          </wp:anchor>
        </w:drawing>
      </w:r>
    </w:p>
    <w:p>
      <w:pPr>
        <w:spacing w:after="0" w:line="132" w:lineRule="exact"/>
        <w:rPr>
          <w:sz w:val="20"/>
          <w:szCs w:val="20"/>
          <w:color w:val="auto"/>
        </w:rPr>
      </w:pPr>
    </w:p>
    <w:tbl>
      <w:tblPr>
        <w:tblLayout w:type="fixed"/>
        <w:tblInd w:w="318" w:type="dxa"/>
        <w:tblCellMar>
          <w:top w:w="0" w:type="dxa"/>
          <w:left w:w="0" w:type="dxa"/>
          <w:bottom w:w="0" w:type="dxa"/>
          <w:right w:w="0" w:type="dxa"/>
        </w:tblCellMar>
      </w:tblPr>
      <w:tr>
        <w:trPr>
          <w:trHeight w:val="206"/>
        </w:trPr>
        <w:tc>
          <w:tcPr>
            <w:tcW w:w="520" w:type="dxa"/>
            <w:vAlign w:val="bottom"/>
          </w:tcPr>
          <w:p>
            <w:pPr>
              <w:jc w:val="right"/>
              <w:ind w:right="245"/>
              <w:spacing w:after="0"/>
              <w:rPr>
                <w:sz w:val="20"/>
                <w:szCs w:val="20"/>
                <w:color w:val="auto"/>
              </w:rPr>
            </w:pPr>
            <w:r>
              <w:rPr>
                <w:rFonts w:ascii="Arial" w:cs="Arial" w:eastAsia="Arial" w:hAnsi="Arial"/>
                <w:sz w:val="15"/>
                <w:szCs w:val="15"/>
                <w:b w:val="1"/>
                <w:bCs w:val="1"/>
                <w:color w:val="3C3C3B"/>
                <w:w w:val="86"/>
              </w:rPr>
              <w:t>2.1</w:t>
            </w:r>
          </w:p>
        </w:tc>
        <w:tc>
          <w:tcPr>
            <w:tcW w:w="5940" w:type="dxa"/>
            <w:vAlign w:val="bottom"/>
          </w:tcPr>
          <w:p>
            <w:pPr>
              <w:ind w:left="320"/>
              <w:spacing w:after="0"/>
              <w:rPr>
                <w:sz w:val="20"/>
                <w:szCs w:val="20"/>
                <w:color w:val="auto"/>
              </w:rPr>
            </w:pPr>
            <w:r>
              <w:rPr>
                <w:rFonts w:ascii="Arial" w:cs="Arial" w:eastAsia="Arial" w:hAnsi="Arial"/>
                <w:sz w:val="15"/>
                <w:szCs w:val="15"/>
                <w:b w:val="1"/>
                <w:bCs w:val="1"/>
                <w:color w:val="3C3C3B"/>
                <w:w w:val="99"/>
              </w:rPr>
              <w:t>Key Events of the First Half of 2025 and Main Events after the Reporting Period</w:t>
            </w:r>
          </w:p>
        </w:tc>
      </w:tr>
      <w:tr>
        <w:trPr>
          <w:trHeight w:val="238"/>
        </w:trPr>
        <w:tc>
          <w:tcPr>
            <w:tcW w:w="520" w:type="dxa"/>
            <w:vAlign w:val="bottom"/>
          </w:tcPr>
          <w:p>
            <w:pPr>
              <w:jc w:val="right"/>
              <w:ind w:right="245"/>
              <w:spacing w:after="0"/>
              <w:rPr>
                <w:sz w:val="20"/>
                <w:szCs w:val="20"/>
                <w:color w:val="auto"/>
              </w:rPr>
            </w:pPr>
            <w:r>
              <w:rPr>
                <w:rFonts w:ascii="Arial" w:cs="Arial" w:eastAsia="Arial" w:hAnsi="Arial"/>
                <w:sz w:val="15"/>
                <w:szCs w:val="15"/>
                <w:b w:val="1"/>
                <w:bCs w:val="1"/>
                <w:color w:val="3C3C3B"/>
                <w:w w:val="86"/>
              </w:rPr>
              <w:t>2.2</w:t>
            </w:r>
          </w:p>
        </w:tc>
        <w:tc>
          <w:tcPr>
            <w:tcW w:w="5940" w:type="dxa"/>
            <w:vAlign w:val="bottom"/>
          </w:tcPr>
          <w:p>
            <w:pPr>
              <w:ind w:left="320"/>
              <w:spacing w:after="0"/>
              <w:rPr>
                <w:sz w:val="20"/>
                <w:szCs w:val="20"/>
                <w:color w:val="auto"/>
              </w:rPr>
            </w:pPr>
            <w:r>
              <w:rPr>
                <w:rFonts w:ascii="Arial" w:cs="Arial" w:eastAsia="Arial" w:hAnsi="Arial"/>
                <w:sz w:val="15"/>
                <w:szCs w:val="15"/>
                <w:b w:val="1"/>
                <w:bCs w:val="1"/>
                <w:color w:val="3C3C3B"/>
              </w:rPr>
              <w:t>Strategy and Outlook</w:t>
            </w:r>
          </w:p>
        </w:tc>
      </w:tr>
      <w:tr>
        <w:trPr>
          <w:trHeight w:val="238"/>
        </w:trPr>
        <w:tc>
          <w:tcPr>
            <w:tcW w:w="520" w:type="dxa"/>
            <w:vAlign w:val="bottom"/>
          </w:tcPr>
          <w:p>
            <w:pPr>
              <w:jc w:val="right"/>
              <w:ind w:right="245"/>
              <w:spacing w:after="0"/>
              <w:rPr>
                <w:sz w:val="20"/>
                <w:szCs w:val="20"/>
                <w:color w:val="auto"/>
              </w:rPr>
            </w:pPr>
            <w:r>
              <w:rPr>
                <w:rFonts w:ascii="Arial" w:cs="Arial" w:eastAsia="Arial" w:hAnsi="Arial"/>
                <w:sz w:val="15"/>
                <w:szCs w:val="15"/>
                <w:b w:val="1"/>
                <w:bCs w:val="1"/>
                <w:color w:val="3C3C3B"/>
                <w:w w:val="86"/>
              </w:rPr>
              <w:t>2.3</w:t>
            </w:r>
          </w:p>
        </w:tc>
        <w:tc>
          <w:tcPr>
            <w:tcW w:w="5940" w:type="dxa"/>
            <w:vAlign w:val="bottom"/>
          </w:tcPr>
          <w:p>
            <w:pPr>
              <w:ind w:left="320"/>
              <w:spacing w:after="0"/>
              <w:rPr>
                <w:sz w:val="20"/>
                <w:szCs w:val="20"/>
                <w:color w:val="auto"/>
              </w:rPr>
            </w:pPr>
            <w:r>
              <w:rPr>
                <w:rFonts w:ascii="Arial" w:cs="Arial" w:eastAsia="Arial" w:hAnsi="Arial"/>
                <w:sz w:val="15"/>
                <w:szCs w:val="15"/>
                <w:b w:val="1"/>
                <w:bCs w:val="1"/>
                <w:color w:val="3C3C3B"/>
              </w:rPr>
              <w:t>Operating and Financial Review</w:t>
            </w:r>
          </w:p>
        </w:tc>
      </w:tr>
      <w:tr>
        <w:trPr>
          <w:trHeight w:val="238"/>
        </w:trPr>
        <w:tc>
          <w:tcPr>
            <w:tcW w:w="520" w:type="dxa"/>
            <w:vAlign w:val="bottom"/>
          </w:tcPr>
          <w:p>
            <w:pPr>
              <w:jc w:val="right"/>
              <w:ind w:right="245"/>
              <w:spacing w:after="0"/>
              <w:rPr>
                <w:sz w:val="20"/>
                <w:szCs w:val="20"/>
                <w:color w:val="auto"/>
              </w:rPr>
            </w:pPr>
            <w:r>
              <w:rPr>
                <w:rFonts w:ascii="Arial" w:cs="Arial" w:eastAsia="Arial" w:hAnsi="Arial"/>
                <w:sz w:val="15"/>
                <w:szCs w:val="15"/>
                <w:b w:val="1"/>
                <w:bCs w:val="1"/>
                <w:color w:val="3C3C3B"/>
                <w:w w:val="86"/>
              </w:rPr>
              <w:t>2.4</w:t>
            </w:r>
          </w:p>
        </w:tc>
        <w:tc>
          <w:tcPr>
            <w:tcW w:w="5940" w:type="dxa"/>
            <w:vAlign w:val="bottom"/>
          </w:tcPr>
          <w:p>
            <w:pPr>
              <w:ind w:left="320"/>
              <w:spacing w:after="0"/>
              <w:rPr>
                <w:sz w:val="20"/>
                <w:szCs w:val="20"/>
                <w:color w:val="auto"/>
              </w:rPr>
            </w:pPr>
            <w:r>
              <w:rPr>
                <w:rFonts w:ascii="Arial" w:cs="Arial" w:eastAsia="Arial" w:hAnsi="Arial"/>
                <w:sz w:val="15"/>
                <w:szCs w:val="15"/>
                <w:b w:val="1"/>
                <w:bCs w:val="1"/>
                <w:color w:val="3C3C3B"/>
              </w:rPr>
              <w:t>Main Transactions with Related Parties</w:t>
            </w:r>
          </w:p>
        </w:tc>
      </w:tr>
      <w:tr>
        <w:trPr>
          <w:trHeight w:val="239"/>
        </w:trPr>
        <w:tc>
          <w:tcPr>
            <w:tcW w:w="520" w:type="dxa"/>
            <w:vAlign w:val="bottom"/>
          </w:tcPr>
          <w:p>
            <w:pPr>
              <w:jc w:val="right"/>
              <w:ind w:right="245"/>
              <w:spacing w:after="0"/>
              <w:rPr>
                <w:sz w:val="20"/>
                <w:szCs w:val="20"/>
                <w:color w:val="auto"/>
              </w:rPr>
            </w:pPr>
            <w:r>
              <w:rPr>
                <w:rFonts w:ascii="Arial" w:cs="Arial" w:eastAsia="Arial" w:hAnsi="Arial"/>
                <w:sz w:val="15"/>
                <w:szCs w:val="15"/>
                <w:b w:val="1"/>
                <w:bCs w:val="1"/>
                <w:color w:val="3C3C3B"/>
                <w:w w:val="86"/>
              </w:rPr>
              <w:t>2.5</w:t>
            </w:r>
          </w:p>
        </w:tc>
        <w:tc>
          <w:tcPr>
            <w:tcW w:w="5940" w:type="dxa"/>
            <w:vAlign w:val="bottom"/>
          </w:tcPr>
          <w:p>
            <w:pPr>
              <w:ind w:left="320"/>
              <w:spacing w:after="0"/>
              <w:rPr>
                <w:sz w:val="20"/>
                <w:szCs w:val="20"/>
                <w:color w:val="auto"/>
              </w:rPr>
            </w:pPr>
            <w:r>
              <w:rPr>
                <w:rFonts w:ascii="Arial" w:cs="Arial" w:eastAsia="Arial" w:hAnsi="Arial"/>
                <w:sz w:val="15"/>
                <w:szCs w:val="15"/>
                <w:b w:val="1"/>
                <w:bCs w:val="1"/>
                <w:color w:val="3C3C3B"/>
              </w:rPr>
              <w:t>Main Risks and Uncertainties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241935</wp:posOffset>
            </wp:positionV>
            <wp:extent cx="8255" cy="1160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1160780"/>
                    </a:xfrm>
                    <a:prstGeom prst="rect">
                      <a:avLst/>
                    </a:prstGeom>
                    <a:noFill/>
                  </pic:spPr>
                </pic:pic>
              </a:graphicData>
            </a:graphic>
          </wp:anchor>
        </w:drawing>
      </w:r>
    </w:p>
    <w:p>
      <w:pPr>
        <w:spacing w:after="0" w:line="375" w:lineRule="exact"/>
        <w:rPr>
          <w:sz w:val="20"/>
          <w:szCs w:val="20"/>
          <w:color w:val="auto"/>
        </w:rPr>
      </w:pPr>
    </w:p>
    <w:p>
      <w:pPr>
        <w:ind w:left="1078" w:hanging="1078"/>
        <w:spacing w:after="0"/>
        <w:tabs>
          <w:tab w:leader="none" w:pos="1078" w:val="left"/>
        </w:tabs>
        <w:numPr>
          <w:ilvl w:val="0"/>
          <w:numId w:val="2"/>
        </w:numPr>
        <w:rPr>
          <w:rFonts w:ascii="Arial" w:cs="Arial" w:eastAsia="Arial" w:hAnsi="Arial"/>
          <w:sz w:val="21"/>
          <w:szCs w:val="21"/>
          <w:color w:val="57879D"/>
        </w:rPr>
      </w:pPr>
      <w:r>
        <w:rPr>
          <w:rFonts w:ascii="Arial" w:cs="Arial" w:eastAsia="Arial" w:hAnsi="Arial"/>
          <w:sz w:val="21"/>
          <w:szCs w:val="21"/>
          <w:color w:val="57879D"/>
        </w:rPr>
        <w:t>HALF-YEAR CONDENSED CONSOLIDATED FINANCIAL STATEMENTS AT JUNE 30, 2025</w:t>
      </w:r>
    </w:p>
    <w:p>
      <w:pPr>
        <w:spacing w:after="0" w:line="152" w:lineRule="exact"/>
        <w:rPr>
          <w:sz w:val="20"/>
          <w:szCs w:val="20"/>
          <w:color w:val="auto"/>
        </w:rPr>
      </w:pPr>
    </w:p>
    <w:tbl>
      <w:tblPr>
        <w:tblLayout w:type="fixed"/>
        <w:tblInd w:w="318" w:type="dxa"/>
        <w:tblCellMar>
          <w:top w:w="0" w:type="dxa"/>
          <w:left w:w="0" w:type="dxa"/>
          <w:bottom w:w="0" w:type="dxa"/>
          <w:right w:w="0" w:type="dxa"/>
        </w:tblCellMar>
      </w:tblPr>
      <w:tr>
        <w:trPr>
          <w:trHeight w:val="206"/>
        </w:trPr>
        <w:tc>
          <w:tcPr>
            <w:tcW w:w="520" w:type="dxa"/>
            <w:vAlign w:val="bottom"/>
          </w:tcPr>
          <w:p>
            <w:pPr>
              <w:jc w:val="right"/>
              <w:ind w:right="245"/>
              <w:spacing w:after="0"/>
              <w:rPr>
                <w:sz w:val="20"/>
                <w:szCs w:val="20"/>
                <w:color w:val="auto"/>
              </w:rPr>
            </w:pPr>
            <w:r>
              <w:rPr>
                <w:rFonts w:ascii="Arial" w:cs="Arial" w:eastAsia="Arial" w:hAnsi="Arial"/>
                <w:sz w:val="15"/>
                <w:szCs w:val="15"/>
                <w:b w:val="1"/>
                <w:bCs w:val="1"/>
                <w:color w:val="3C3C3B"/>
                <w:w w:val="86"/>
              </w:rPr>
              <w:t>3.1</w:t>
            </w:r>
          </w:p>
        </w:tc>
        <w:tc>
          <w:tcPr>
            <w:tcW w:w="4300" w:type="dxa"/>
            <w:vAlign w:val="bottom"/>
          </w:tcPr>
          <w:p>
            <w:pPr>
              <w:ind w:left="320"/>
              <w:spacing w:after="0"/>
              <w:rPr>
                <w:sz w:val="20"/>
                <w:szCs w:val="20"/>
                <w:color w:val="auto"/>
              </w:rPr>
            </w:pPr>
            <w:r>
              <w:rPr>
                <w:rFonts w:ascii="Arial" w:cs="Arial" w:eastAsia="Arial" w:hAnsi="Arial"/>
                <w:sz w:val="15"/>
                <w:szCs w:val="15"/>
                <w:b w:val="1"/>
                <w:bCs w:val="1"/>
                <w:color w:val="3C3C3B"/>
              </w:rPr>
              <w:t>Consolidated Statements of Financial Position</w:t>
            </w:r>
          </w:p>
        </w:tc>
      </w:tr>
      <w:tr>
        <w:trPr>
          <w:trHeight w:val="238"/>
        </w:trPr>
        <w:tc>
          <w:tcPr>
            <w:tcW w:w="520" w:type="dxa"/>
            <w:vAlign w:val="bottom"/>
          </w:tcPr>
          <w:p>
            <w:pPr>
              <w:jc w:val="right"/>
              <w:ind w:right="245"/>
              <w:spacing w:after="0"/>
              <w:rPr>
                <w:sz w:val="20"/>
                <w:szCs w:val="20"/>
                <w:color w:val="auto"/>
              </w:rPr>
            </w:pPr>
            <w:r>
              <w:rPr>
                <w:rFonts w:ascii="Arial" w:cs="Arial" w:eastAsia="Arial" w:hAnsi="Arial"/>
                <w:sz w:val="15"/>
                <w:szCs w:val="15"/>
                <w:b w:val="1"/>
                <w:bCs w:val="1"/>
                <w:color w:val="3C3C3B"/>
                <w:w w:val="86"/>
              </w:rPr>
              <w:t>3.2</w:t>
            </w:r>
          </w:p>
        </w:tc>
        <w:tc>
          <w:tcPr>
            <w:tcW w:w="4300" w:type="dxa"/>
            <w:vAlign w:val="bottom"/>
          </w:tcPr>
          <w:p>
            <w:pPr>
              <w:ind w:left="320"/>
              <w:spacing w:after="0"/>
              <w:rPr>
                <w:sz w:val="20"/>
                <w:szCs w:val="20"/>
                <w:color w:val="auto"/>
              </w:rPr>
            </w:pPr>
            <w:r>
              <w:rPr>
                <w:rFonts w:ascii="Arial" w:cs="Arial" w:eastAsia="Arial" w:hAnsi="Arial"/>
                <w:sz w:val="15"/>
                <w:szCs w:val="15"/>
                <w:b w:val="1"/>
                <w:bCs w:val="1"/>
                <w:color w:val="3C3C3B"/>
              </w:rPr>
              <w:t>Consolidated Statements of Operations</w:t>
            </w:r>
          </w:p>
        </w:tc>
      </w:tr>
      <w:tr>
        <w:trPr>
          <w:trHeight w:val="238"/>
        </w:trPr>
        <w:tc>
          <w:tcPr>
            <w:tcW w:w="520" w:type="dxa"/>
            <w:vAlign w:val="bottom"/>
          </w:tcPr>
          <w:p>
            <w:pPr>
              <w:jc w:val="right"/>
              <w:ind w:right="245"/>
              <w:spacing w:after="0"/>
              <w:rPr>
                <w:sz w:val="20"/>
                <w:szCs w:val="20"/>
                <w:color w:val="auto"/>
              </w:rPr>
            </w:pPr>
            <w:r>
              <w:rPr>
                <w:rFonts w:ascii="Arial" w:cs="Arial" w:eastAsia="Arial" w:hAnsi="Arial"/>
                <w:sz w:val="15"/>
                <w:szCs w:val="15"/>
                <w:b w:val="1"/>
                <w:bCs w:val="1"/>
                <w:color w:val="3C3C3B"/>
                <w:w w:val="86"/>
              </w:rPr>
              <w:t>3.3</w:t>
            </w:r>
          </w:p>
        </w:tc>
        <w:tc>
          <w:tcPr>
            <w:tcW w:w="4300" w:type="dxa"/>
            <w:vAlign w:val="bottom"/>
          </w:tcPr>
          <w:p>
            <w:pPr>
              <w:ind w:left="320"/>
              <w:spacing w:after="0"/>
              <w:rPr>
                <w:sz w:val="20"/>
                <w:szCs w:val="20"/>
                <w:color w:val="auto"/>
              </w:rPr>
            </w:pPr>
            <w:r>
              <w:rPr>
                <w:rFonts w:ascii="Arial" w:cs="Arial" w:eastAsia="Arial" w:hAnsi="Arial"/>
                <w:sz w:val="15"/>
                <w:szCs w:val="15"/>
                <w:b w:val="1"/>
                <w:bCs w:val="1"/>
                <w:color w:val="3C3C3B"/>
                <w:w w:val="99"/>
              </w:rPr>
              <w:t>Consolidated Statements of Other Comprehensive Loss</w:t>
            </w:r>
          </w:p>
        </w:tc>
      </w:tr>
      <w:tr>
        <w:trPr>
          <w:trHeight w:val="238"/>
        </w:trPr>
        <w:tc>
          <w:tcPr>
            <w:tcW w:w="520" w:type="dxa"/>
            <w:vAlign w:val="bottom"/>
          </w:tcPr>
          <w:p>
            <w:pPr>
              <w:jc w:val="right"/>
              <w:ind w:right="245"/>
              <w:spacing w:after="0"/>
              <w:rPr>
                <w:sz w:val="20"/>
                <w:szCs w:val="20"/>
                <w:color w:val="auto"/>
              </w:rPr>
            </w:pPr>
            <w:r>
              <w:rPr>
                <w:rFonts w:ascii="Arial" w:cs="Arial" w:eastAsia="Arial" w:hAnsi="Arial"/>
                <w:sz w:val="15"/>
                <w:szCs w:val="15"/>
                <w:b w:val="1"/>
                <w:bCs w:val="1"/>
                <w:color w:val="3C3C3B"/>
                <w:w w:val="86"/>
              </w:rPr>
              <w:t>3.4</w:t>
            </w:r>
          </w:p>
        </w:tc>
        <w:tc>
          <w:tcPr>
            <w:tcW w:w="4300" w:type="dxa"/>
            <w:vAlign w:val="bottom"/>
          </w:tcPr>
          <w:p>
            <w:pPr>
              <w:ind w:left="320"/>
              <w:spacing w:after="0"/>
              <w:rPr>
                <w:sz w:val="20"/>
                <w:szCs w:val="20"/>
                <w:color w:val="auto"/>
              </w:rPr>
            </w:pPr>
            <w:r>
              <w:rPr>
                <w:rFonts w:ascii="Arial" w:cs="Arial" w:eastAsia="Arial" w:hAnsi="Arial"/>
                <w:sz w:val="15"/>
                <w:szCs w:val="15"/>
                <w:b w:val="1"/>
                <w:bCs w:val="1"/>
                <w:color w:val="3C3C3B"/>
              </w:rPr>
              <w:t>Consolidated Statements of Cash Flows</w:t>
            </w:r>
          </w:p>
        </w:tc>
      </w:tr>
      <w:tr>
        <w:trPr>
          <w:trHeight w:val="238"/>
        </w:trPr>
        <w:tc>
          <w:tcPr>
            <w:tcW w:w="520" w:type="dxa"/>
            <w:vAlign w:val="bottom"/>
          </w:tcPr>
          <w:p>
            <w:pPr>
              <w:jc w:val="right"/>
              <w:ind w:right="245"/>
              <w:spacing w:after="0"/>
              <w:rPr>
                <w:sz w:val="20"/>
                <w:szCs w:val="20"/>
                <w:color w:val="auto"/>
              </w:rPr>
            </w:pPr>
            <w:r>
              <w:rPr>
                <w:rFonts w:ascii="Arial" w:cs="Arial" w:eastAsia="Arial" w:hAnsi="Arial"/>
                <w:sz w:val="15"/>
                <w:szCs w:val="15"/>
                <w:b w:val="1"/>
                <w:bCs w:val="1"/>
                <w:color w:val="3C3C3B"/>
                <w:w w:val="86"/>
              </w:rPr>
              <w:t>3.5</w:t>
            </w:r>
          </w:p>
        </w:tc>
        <w:tc>
          <w:tcPr>
            <w:tcW w:w="4300" w:type="dxa"/>
            <w:vAlign w:val="bottom"/>
          </w:tcPr>
          <w:p>
            <w:pPr>
              <w:ind w:left="320"/>
              <w:spacing w:after="0"/>
              <w:rPr>
                <w:sz w:val="20"/>
                <w:szCs w:val="20"/>
                <w:color w:val="auto"/>
              </w:rPr>
            </w:pPr>
            <w:r>
              <w:rPr>
                <w:rFonts w:ascii="Arial" w:cs="Arial" w:eastAsia="Arial" w:hAnsi="Arial"/>
                <w:sz w:val="15"/>
                <w:szCs w:val="15"/>
                <w:b w:val="1"/>
                <w:bCs w:val="1"/>
                <w:color w:val="3C3C3B"/>
              </w:rPr>
              <w:t>Consolidated Statements of Changes in Equity</w:t>
            </w:r>
          </w:p>
        </w:tc>
      </w:tr>
      <w:tr>
        <w:trPr>
          <w:trHeight w:val="239"/>
        </w:trPr>
        <w:tc>
          <w:tcPr>
            <w:tcW w:w="520" w:type="dxa"/>
            <w:vAlign w:val="bottom"/>
          </w:tcPr>
          <w:p>
            <w:pPr>
              <w:jc w:val="right"/>
              <w:ind w:right="245"/>
              <w:spacing w:after="0"/>
              <w:rPr>
                <w:sz w:val="20"/>
                <w:szCs w:val="20"/>
                <w:color w:val="auto"/>
              </w:rPr>
            </w:pPr>
            <w:r>
              <w:rPr>
                <w:rFonts w:ascii="Arial" w:cs="Arial" w:eastAsia="Arial" w:hAnsi="Arial"/>
                <w:sz w:val="15"/>
                <w:szCs w:val="15"/>
                <w:b w:val="1"/>
                <w:bCs w:val="1"/>
                <w:color w:val="3C3C3B"/>
                <w:w w:val="86"/>
              </w:rPr>
              <w:t>3.6</w:t>
            </w:r>
          </w:p>
        </w:tc>
        <w:tc>
          <w:tcPr>
            <w:tcW w:w="4300" w:type="dxa"/>
            <w:vAlign w:val="bottom"/>
          </w:tcPr>
          <w:p>
            <w:pPr>
              <w:ind w:left="320"/>
              <w:spacing w:after="0"/>
              <w:rPr>
                <w:sz w:val="20"/>
                <w:szCs w:val="20"/>
                <w:color w:val="auto"/>
              </w:rPr>
            </w:pPr>
            <w:r>
              <w:rPr>
                <w:rFonts w:ascii="Arial" w:cs="Arial" w:eastAsia="Arial" w:hAnsi="Arial"/>
                <w:sz w:val="15"/>
                <w:szCs w:val="15"/>
                <w:b w:val="1"/>
                <w:bCs w:val="1"/>
                <w:color w:val="3C3C3B"/>
              </w:rPr>
              <w:t>Notes to the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241935</wp:posOffset>
            </wp:positionV>
            <wp:extent cx="8255" cy="3536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353695"/>
                    </a:xfrm>
                    <a:prstGeom prst="rect">
                      <a:avLst/>
                    </a:prstGeom>
                    <a:noFill/>
                  </pic:spPr>
                </pic:pic>
              </a:graphicData>
            </a:graphic>
          </wp:anchor>
        </w:drawing>
      </w:r>
    </w:p>
    <w:p>
      <w:pPr>
        <w:spacing w:after="0" w:line="375" w:lineRule="exact"/>
        <w:rPr>
          <w:sz w:val="20"/>
          <w:szCs w:val="20"/>
          <w:color w:val="auto"/>
        </w:rPr>
      </w:pPr>
    </w:p>
    <w:p>
      <w:pPr>
        <w:ind w:left="1078" w:hanging="1078"/>
        <w:spacing w:after="0" w:line="301" w:lineRule="auto"/>
        <w:tabs>
          <w:tab w:leader="none" w:pos="1078" w:val="left"/>
        </w:tabs>
        <w:numPr>
          <w:ilvl w:val="0"/>
          <w:numId w:val="3"/>
        </w:numPr>
        <w:rPr>
          <w:rFonts w:ascii="Arial" w:cs="Arial" w:eastAsia="Arial" w:hAnsi="Arial"/>
          <w:sz w:val="21"/>
          <w:szCs w:val="21"/>
          <w:color w:val="57879D"/>
        </w:rPr>
      </w:pPr>
      <w:r>
        <w:rPr>
          <w:rFonts w:ascii="Arial" w:cs="Arial" w:eastAsia="Arial" w:hAnsi="Arial"/>
          <w:sz w:val="21"/>
          <w:szCs w:val="21"/>
          <w:color w:val="57879D"/>
        </w:rPr>
        <w:t>STATUTORY AUDITORS’ LIMITED REVIEW REPORT ON 2025 HALF-YEAR CONDENSED CONSOLIDATED FINANCIAL STATEMENTS</w:t>
      </w:r>
    </w:p>
    <w:p>
      <w:pPr>
        <w:spacing w:after="0" w:line="308" w:lineRule="exact"/>
        <w:rPr>
          <w:rFonts w:ascii="Arial" w:cs="Arial" w:eastAsia="Arial" w:hAnsi="Arial"/>
          <w:sz w:val="21"/>
          <w:szCs w:val="21"/>
          <w:color w:val="57879D"/>
        </w:rPr>
      </w:pPr>
    </w:p>
    <w:p>
      <w:pPr>
        <w:ind w:left="1078" w:hanging="1078"/>
        <w:spacing w:after="0"/>
        <w:tabs>
          <w:tab w:leader="none" w:pos="1078" w:val="left"/>
        </w:tabs>
        <w:numPr>
          <w:ilvl w:val="0"/>
          <w:numId w:val="3"/>
        </w:numPr>
        <w:rPr>
          <w:rFonts w:ascii="Arial" w:cs="Arial" w:eastAsia="Arial" w:hAnsi="Arial"/>
          <w:sz w:val="21"/>
          <w:szCs w:val="21"/>
          <w:color w:val="57879D"/>
        </w:rPr>
      </w:pPr>
      <w:r>
        <w:rPr>
          <w:rFonts w:ascii="Arial" w:cs="Arial" w:eastAsia="Arial" w:hAnsi="Arial"/>
          <w:sz w:val="21"/>
          <w:szCs w:val="21"/>
          <w:color w:val="57879D"/>
        </w:rPr>
        <w:t>DECLARATION BY THE PERSON RESPONSIBLE FOR THE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-161290</wp:posOffset>
            </wp:positionV>
            <wp:extent cx="8255" cy="2527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252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28"/>
          <w:szCs w:val="28"/>
          <w:b w:val="1"/>
          <w:bCs w:val="1"/>
          <w:u w:val="single" w:color="auto"/>
          <w:color w:val="57879D"/>
        </w:rPr>
        <w:t>2</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28"/>
          <w:szCs w:val="28"/>
          <w:b w:val="1"/>
          <w:bCs w:val="1"/>
          <w:u w:val="single" w:color="auto"/>
          <w:color w:val="57879D"/>
        </w:rPr>
        <w:t>4</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242424"/>
        </w:rPr>
        <w:t>4</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242424"/>
        </w:rPr>
        <w:t>9</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242424"/>
        </w:rPr>
        <w:t>10</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242424"/>
        </w:rPr>
        <w:t>14</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242424"/>
        </w:rPr>
        <w:t>14</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26"/>
          <w:szCs w:val="26"/>
          <w:b w:val="1"/>
          <w:bCs w:val="1"/>
          <w:u w:val="single" w:color="auto"/>
          <w:color w:val="57879D"/>
        </w:rPr>
        <w:t>15</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242424"/>
        </w:rPr>
        <w:t>16</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242424"/>
        </w:rPr>
        <w:t>17</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242424"/>
        </w:rPr>
        <w:t>17</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242424"/>
        </w:rPr>
        <w:t>18</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242424"/>
        </w:rPr>
        <w:t>19</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242424"/>
        </w:rPr>
        <w:t>20</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6"/>
          <w:szCs w:val="26"/>
          <w:b w:val="1"/>
          <w:bCs w:val="1"/>
          <w:u w:val="single" w:color="auto"/>
          <w:color w:val="57879D"/>
        </w:rPr>
        <w:t>43</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6"/>
          <w:szCs w:val="26"/>
          <w:b w:val="1"/>
          <w:bCs w:val="1"/>
          <w:u w:val="single" w:color="auto"/>
          <w:color w:val="57879D"/>
        </w:rPr>
        <w:t>45</w:t>
      </w:r>
    </w:p>
    <w:p>
      <w:pPr>
        <w:sectPr>
          <w:pgSz w:w="11900" w:h="16838" w:orient="portrait"/>
          <w:cols w:equalWidth="0" w:num="2">
            <w:col w:w="9818" w:space="640"/>
            <w:col w:w="300"/>
          </w:cols>
          <w:pgMar w:left="662" w:top="1440" w:right="47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21"/>
          <w:szCs w:val="21"/>
          <w:b w:val="1"/>
          <w:bCs w:val="1"/>
          <w:color w:val="57879D"/>
        </w:rPr>
        <w:t>Disclaimer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3" w:lineRule="exact"/>
        <w:rPr>
          <w:sz w:val="20"/>
          <w:szCs w:val="20"/>
          <w:color w:val="auto"/>
        </w:rPr>
      </w:pPr>
    </w:p>
    <w:p>
      <w:pPr>
        <w:jc w:val="both"/>
        <w:ind w:right="100" w:firstLine="318"/>
        <w:spacing w:after="0" w:line="249" w:lineRule="auto"/>
        <w:rPr>
          <w:sz w:val="20"/>
          <w:szCs w:val="20"/>
          <w:color w:val="auto"/>
        </w:rPr>
      </w:pPr>
      <w:r>
        <w:rPr>
          <w:rFonts w:ascii="Arial" w:cs="Arial" w:eastAsia="Arial" w:hAnsi="Arial"/>
          <w:sz w:val="15"/>
          <w:szCs w:val="15"/>
          <w:color w:val="3C3C3B"/>
        </w:rPr>
        <w:t>This report contains certain forward-looking statements, including those within the meaning of the Private Securities Litigation Reform Act of 1995 with respect to GENFIT, including, but not limited to statements about GENFIT’s corporate strategy and objectives, our achievement of key milestones enabling us to receive payments under our license agreements, the potential of Iqirvo® (elafibranor) to receive marketing authorization and successful launch and commercialization in countries other than those in which it is currently approved and commercialized and/or in indications other than PBC, our achievement of the necessary objectives to obtain the future €55 million in additional payments under the royalty financing agreement signed with HCRx (Royalty Financing), anticipated timing for study enrollment and data readouts, in particular regarding our development programs for G1090N in the prevention and/or treatment of ACLF and for GNS561 in CCA, and development plans for our other pipeline programs, in particular those related to SRT-015, CLM-022 and VS-02 HE in ACLF, and VS-01 in UCD, the expected timing for potential regulatory approvals and the impact of the development of our programs and our internal organization, our ability to qualify for and obtain specific regulatory pathways, as well as our financial outlook including cash flow and cash burn projections as updated following the termination of our VS-01 in ACLF research program and business and R&amp;D activity projections for 2025 and beyond. The use of certain words, including “believe, “potential”, “expect”, “target”, “may”, “should” and “will” and similar expressions, is intended to identify forward-looking statements. Although the Company believes its expectations are based on the current expectations and reasonable assumptions of the Company’s management, these forward-looking statements are subject to numerous known and unknown risks and uncertainties, which could cause actual results to differ materially from those expressed in, or implied or projected by, the forward-looking statements. These risks and uncertainties include, among other things, the uncertainties inherent in research and development, including in relation to safety of drug candidates, cost of, progression of, and results from, our ongoing and planned clinical trials, review and approvals by regulatory authorities in the United States, Europe and worldwide, of our drug and diagnostic candidates, potential commercial success of Iqirvo</w:t>
      </w:r>
      <w:r>
        <w:rPr>
          <w:rFonts w:ascii="Arial" w:cs="Arial" w:eastAsia="Arial" w:hAnsi="Arial"/>
          <w:sz w:val="19"/>
          <w:szCs w:val="19"/>
          <w:color w:val="3C3C3B"/>
          <w:vertAlign w:val="superscript"/>
        </w:rPr>
        <w:t>®</w:t>
      </w:r>
      <w:r>
        <w:rPr>
          <w:rFonts w:ascii="Arial" w:cs="Arial" w:eastAsia="Arial" w:hAnsi="Arial"/>
          <w:sz w:val="15"/>
          <w:szCs w:val="15"/>
          <w:color w:val="3C3C3B"/>
        </w:rPr>
        <w:t xml:space="preserve"> (elafibranor), exchange rate fluctuations, our continued ability to raise capital to fund our development, as well as those risks and uncertainties discussed or identified in the Company’s public filings with the AMF, including those listed in Chapter 2 “Risk Factors and Internal Control” of the Company’s 2024 Universal Registration Document filed with the AMF on April 29, 2025, which is available on the Company’s website (www.genfit.com) and on the website of the AMF (www.amf-france.org) and public filings and reports filed with the U.S. Securities and Exchange Commission (“SEC”) including the Company’s 2024 Annual Report on Form 20-F filed with the SEC on April 29, 2025 and subsequent filings and reports filed with the AMF or SEC, including this Half-Year Business and Financial Report at June 30, 2025 or otherwise made public, by the Company.</w:t>
      </w:r>
    </w:p>
    <w:p>
      <w:pPr>
        <w:spacing w:after="0" w:line="156" w:lineRule="exact"/>
        <w:rPr>
          <w:sz w:val="20"/>
          <w:szCs w:val="20"/>
          <w:color w:val="auto"/>
        </w:rPr>
      </w:pPr>
    </w:p>
    <w:p>
      <w:pPr>
        <w:jc w:val="both"/>
        <w:ind w:right="100" w:firstLine="318"/>
        <w:spacing w:after="0" w:line="293" w:lineRule="auto"/>
        <w:rPr>
          <w:sz w:val="20"/>
          <w:szCs w:val="20"/>
          <w:color w:val="auto"/>
        </w:rPr>
      </w:pPr>
      <w:r>
        <w:rPr>
          <w:rFonts w:ascii="Arial" w:cs="Arial" w:eastAsia="Arial" w:hAnsi="Arial"/>
          <w:sz w:val="15"/>
          <w:szCs w:val="15"/>
          <w:color w:val="3C3C3B"/>
        </w:rPr>
        <w:t>In addition, even if the Company’s results, performance, financial condition and liquidity, and the development of the industry in which it operates are consistent with such forward-looking statements, they may not be predictive of results or developments in future periods.</w:t>
      </w:r>
    </w:p>
    <w:p>
      <w:pPr>
        <w:spacing w:after="0" w:line="109" w:lineRule="exact"/>
        <w:rPr>
          <w:sz w:val="20"/>
          <w:szCs w:val="20"/>
          <w:color w:val="auto"/>
        </w:rPr>
      </w:pPr>
    </w:p>
    <w:p>
      <w:pPr>
        <w:jc w:val="both"/>
        <w:ind w:right="100" w:firstLine="318"/>
        <w:spacing w:after="0" w:line="293" w:lineRule="auto"/>
        <w:rPr>
          <w:sz w:val="20"/>
          <w:szCs w:val="20"/>
          <w:color w:val="auto"/>
        </w:rPr>
      </w:pPr>
      <w:r>
        <w:rPr>
          <w:rFonts w:ascii="Arial" w:cs="Arial" w:eastAsia="Arial" w:hAnsi="Arial"/>
          <w:sz w:val="15"/>
          <w:szCs w:val="15"/>
          <w:color w:val="3C3C3B"/>
        </w:rPr>
        <w:t>These forward-looking statements speak only as of the date of publication of this document. Other than as required by applicable law, the Company does not undertake any obligation to update or revise any forward-looking information or statements, whether as a result of new information, future events or otherwise.</w:t>
      </w:r>
    </w:p>
    <w:p>
      <w:pPr>
        <w:spacing w:after="0" w:line="259" w:lineRule="exact"/>
        <w:rPr>
          <w:sz w:val="20"/>
          <w:szCs w:val="20"/>
          <w:color w:val="auto"/>
        </w:rPr>
      </w:pPr>
    </w:p>
    <w:tbl>
      <w:tblPr>
        <w:tblLayout w:type="fixed"/>
        <w:tblInd w:w="2830" w:type="dxa"/>
        <w:tblCellMar>
          <w:top w:w="0" w:type="dxa"/>
          <w:left w:w="0" w:type="dxa"/>
          <w:bottom w:w="0" w:type="dxa"/>
          <w:right w:w="0" w:type="dxa"/>
        </w:tblCellMar>
      </w:tblPr>
      <w:tr>
        <w:trPr>
          <w:trHeight w:val="146"/>
        </w:trPr>
        <w:tc>
          <w:tcPr>
            <w:tcW w:w="7880" w:type="dxa"/>
            <w:vAlign w:val="bottom"/>
            <w:tcBorders>
              <w:left w:val="single" w:sz="8" w:color="57879D"/>
            </w:tcBorders>
            <w:vMerge w:val="restart"/>
          </w:tcPr>
          <w:p>
            <w:pPr>
              <w:ind w:left="40"/>
              <w:spacing w:after="0"/>
              <w:rPr>
                <w:sz w:val="20"/>
                <w:szCs w:val="20"/>
                <w:color w:val="auto"/>
              </w:rPr>
            </w:pPr>
            <w:r>
              <w:rPr>
                <w:rFonts w:ascii="Arial" w:cs="Arial" w:eastAsia="Arial" w:hAnsi="Arial"/>
                <w:sz w:val="15"/>
                <w:szCs w:val="15"/>
                <w:color w:val="3C3C3B"/>
              </w:rPr>
              <w:t>Half-Year Business and Financial Report at June 30, 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7880" w:type="dxa"/>
            <w:vAlign w:val="bottom"/>
            <w:tcBorders>
              <w:left w:val="single" w:sz="8" w:color="57879D"/>
            </w:tcBorders>
            <w:vMerge w:val="continue"/>
          </w:tcPr>
          <w:p>
            <w:pPr>
              <w:spacing w:after="0"/>
              <w:rPr>
                <w:sz w:val="22"/>
                <w:szCs w:val="22"/>
                <w:color w:val="auto"/>
              </w:rPr>
            </w:pPr>
          </w:p>
        </w:tc>
        <w:tc>
          <w:tcPr>
            <w:tcW w:w="640" w:type="dxa"/>
            <w:vAlign w:val="bottom"/>
            <w:shd w:val="clear" w:color="auto" w:fill="DBDBDB"/>
          </w:tcPr>
          <w:p>
            <w:pPr>
              <w:jc w:val="right"/>
              <w:ind w:right="465"/>
              <w:spacing w:after="0"/>
              <w:rPr>
                <w:sz w:val="20"/>
                <w:szCs w:val="20"/>
                <w:color w:val="auto"/>
              </w:rPr>
            </w:pPr>
            <w:r>
              <w:rPr>
                <w:rFonts w:ascii="Arial" w:cs="Arial" w:eastAsia="Arial" w:hAnsi="Arial"/>
                <w:sz w:val="15"/>
                <w:szCs w:val="15"/>
                <w:color w:val="3C3C3B"/>
                <w:w w:val="95"/>
              </w:rPr>
              <w:t>1</w:t>
            </w:r>
          </w:p>
        </w:tc>
        <w:tc>
          <w:tcPr>
            <w:tcW w:w="0" w:type="dxa"/>
            <w:vAlign w:val="bottom"/>
          </w:tcPr>
          <w:p>
            <w:pPr>
              <w:spacing w:after="0"/>
              <w:rPr>
                <w:sz w:val="1"/>
                <w:szCs w:val="1"/>
                <w:color w:val="auto"/>
              </w:rPr>
            </w:pPr>
          </w:p>
        </w:tc>
      </w:tr>
      <w:tr>
        <w:trPr>
          <w:trHeight w:val="71"/>
        </w:trPr>
        <w:tc>
          <w:tcPr>
            <w:tcW w:w="7880" w:type="dxa"/>
            <w:vAlign w:val="bottom"/>
            <w:tcBorders>
              <w:left w:val="single" w:sz="8" w:color="57879D"/>
            </w:tcBorders>
          </w:tcPr>
          <w:p>
            <w:pPr>
              <w:spacing w:after="0"/>
              <w:rPr>
                <w:sz w:val="6"/>
                <w:szCs w:val="6"/>
                <w:color w:val="auto"/>
              </w:rPr>
            </w:pPr>
          </w:p>
        </w:tc>
        <w:tc>
          <w:tcPr>
            <w:tcW w:w="6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7880" w:type="dxa"/>
            <w:vAlign w:val="bottom"/>
            <w:tcBorders>
              <w:left w:val="single" w:sz="8" w:color="57879D"/>
            </w:tcBorders>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-369570</wp:posOffset>
            </wp:positionV>
            <wp:extent cx="1094105" cy="277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94105" cy="277495"/>
                    </a:xfrm>
                    <a:prstGeom prst="rect">
                      <a:avLst/>
                    </a:prstGeom>
                    <a:noFill/>
                  </pic:spPr>
                </pic:pic>
              </a:graphicData>
            </a:graphic>
          </wp:anchor>
        </w:drawing>
      </w:r>
    </w:p>
    <w:p>
      <w:pPr>
        <w:sectPr>
          <w:pgSz w:w="11900" w:h="16838" w:orient="portrait"/>
          <w:cols w:equalWidth="0" w:num="1">
            <w:col w:w="11340"/>
          </w:cols>
          <w:pgMar w:left="320" w:top="1304" w:right="239" w:bottom="1440" w:gutter="0" w:footer="0" w:header="0"/>
        </w:sectPr>
      </w:pPr>
    </w:p>
    <w:bookmarkStart w:id="7" w:name="page8"/>
    <w:bookmarkEnd w:id="7"/>
    <w:p>
      <w:pPr>
        <w:ind w:left="1200" w:right="2080" w:hanging="1176"/>
        <w:spacing w:after="0" w:line="303" w:lineRule="auto"/>
        <w:tabs>
          <w:tab w:leader="none" w:pos="1200" w:val="left"/>
        </w:tabs>
        <w:numPr>
          <w:ilvl w:val="0"/>
          <w:numId w:val="4"/>
        </w:numPr>
        <w:rPr>
          <w:rFonts w:ascii="Arial" w:cs="Arial" w:eastAsia="Arial" w:hAnsi="Arial"/>
          <w:sz w:val="35"/>
          <w:szCs w:val="35"/>
          <w:b w:val="1"/>
          <w:bCs w:val="1"/>
          <w:color w:val="57879D"/>
        </w:rPr>
      </w:pPr>
      <w:r>
        <w:rPr>
          <w:rFonts w:ascii="Arial" w:cs="Arial" w:eastAsia="Arial" w:hAnsi="Arial"/>
          <w:sz w:val="35"/>
          <w:szCs w:val="35"/>
          <w:b w:val="1"/>
          <w:bCs w:val="1"/>
          <w:color w:val="57879D"/>
        </w:rPr>
        <w:t>OVERVIEW OF THE GROUP AND ITS MAIN R&amp;D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68573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28"/>
          <w:szCs w:val="28"/>
          <w:b w:val="1"/>
          <w:bCs w:val="1"/>
          <w:color w:val="57879D"/>
        </w:rPr>
        <w:t>About GENFIT</w:t>
      </w:r>
    </w:p>
    <w:p>
      <w:pPr>
        <w:spacing w:after="0" w:line="209" w:lineRule="exact"/>
        <w:rPr>
          <w:sz w:val="20"/>
          <w:szCs w:val="20"/>
          <w:color w:val="auto"/>
        </w:rPr>
      </w:pPr>
    </w:p>
    <w:p>
      <w:pPr>
        <w:jc w:val="both"/>
        <w:ind w:right="100" w:firstLine="318"/>
        <w:spacing w:after="0" w:line="263" w:lineRule="auto"/>
        <w:rPr>
          <w:sz w:val="20"/>
          <w:szCs w:val="20"/>
          <w:color w:val="auto"/>
        </w:rPr>
      </w:pPr>
      <w:r>
        <w:rPr>
          <w:rFonts w:ascii="Arial" w:cs="Arial" w:eastAsia="Arial" w:hAnsi="Arial"/>
          <w:sz w:val="15"/>
          <w:szCs w:val="15"/>
          <w:color w:val="3C3C3B"/>
        </w:rPr>
        <w:t>GENFIT is a biopharmaceutical group (the "Group” or “GENFIT” or the "Company”) committed to improving the lives of patients with liver diseases whose medical needs remain largely unmet, with particular attention to rare and life-threatening diseases including their acute manifestations. The Group includes the parent company GENFIT SA, founded in 1999 incorporated under French law and two wholly-owned subsidiaries: GENFIT Corp. (American subsidiary) and Versantis AG (Swiss subsidiary) whose accounts are consolidated with those of GENFIT SA.</w:t>
      </w:r>
    </w:p>
    <w:p>
      <w:pPr>
        <w:spacing w:after="0" w:line="132" w:lineRule="exact"/>
        <w:rPr>
          <w:sz w:val="20"/>
          <w:szCs w:val="20"/>
          <w:color w:val="auto"/>
        </w:rPr>
      </w:pPr>
    </w:p>
    <w:p>
      <w:pPr>
        <w:jc w:val="both"/>
        <w:ind w:right="100" w:firstLine="318"/>
        <w:spacing w:after="0" w:line="293" w:lineRule="auto"/>
        <w:rPr>
          <w:sz w:val="20"/>
          <w:szCs w:val="20"/>
          <w:color w:val="auto"/>
        </w:rPr>
      </w:pPr>
      <w:r>
        <w:rPr>
          <w:rFonts w:ascii="Arial" w:cs="Arial" w:eastAsia="Arial" w:hAnsi="Arial"/>
          <w:sz w:val="15"/>
          <w:szCs w:val="15"/>
          <w:color w:val="3C3C3B"/>
        </w:rPr>
        <w:t>GENFIT is a pioneer in liver disease research and development with a rich history and a solid scientific heritage spanning more than two decades. Today, GENFIT has built</w:t>
      </w:r>
    </w:p>
    <w:p>
      <w:pPr>
        <w:spacing w:after="0" w:line="122" w:lineRule="exact"/>
        <w:rPr>
          <w:sz w:val="20"/>
          <w:szCs w:val="20"/>
          <w:color w:val="auto"/>
        </w:rPr>
      </w:pPr>
    </w:p>
    <w:p>
      <w:pPr>
        <w:jc w:val="both"/>
        <w:ind w:right="100" w:firstLine="318"/>
        <w:spacing w:after="0" w:line="263" w:lineRule="auto"/>
        <w:rPr>
          <w:sz w:val="20"/>
          <w:szCs w:val="20"/>
          <w:color w:val="auto"/>
        </w:rPr>
      </w:pPr>
      <w:r>
        <w:rPr>
          <w:rFonts w:ascii="Arial" w:cs="Arial" w:eastAsia="Arial" w:hAnsi="Arial"/>
          <w:sz w:val="15"/>
          <w:szCs w:val="15"/>
          <w:color w:val="3C3C3B"/>
        </w:rPr>
        <w:t>up a diversified and rapidly expanding R&amp;D portfolio of programs at various stages of development. The Company focuses on Acute-on-Chronic Liver Failure (ACLF). Its ACLF franchise includes four assets under development: G1090N, SRT-015, CLM-022 and VS-02-HE, based on complementary mechanisms of action using different routes of administration. Other assets target other serious diseases, such as GNS561 in Cholangiocarcinoma (CCA), and VS-01-HAC in Urea Cycle Disorders (UCD) and Organic Acidemias (OA).</w:t>
      </w:r>
    </w:p>
    <w:p>
      <w:pPr>
        <w:spacing w:after="0" w:line="145" w:lineRule="exact"/>
        <w:rPr>
          <w:sz w:val="20"/>
          <w:szCs w:val="20"/>
          <w:color w:val="auto"/>
        </w:rPr>
      </w:pPr>
    </w:p>
    <w:p>
      <w:pPr>
        <w:jc w:val="both"/>
        <w:ind w:right="100" w:firstLine="318"/>
        <w:spacing w:after="0" w:line="236" w:lineRule="auto"/>
        <w:rPr>
          <w:sz w:val="20"/>
          <w:szCs w:val="20"/>
          <w:color w:val="auto"/>
        </w:rPr>
      </w:pPr>
      <w:r>
        <w:rPr>
          <w:rFonts w:ascii="Arial" w:cs="Arial" w:eastAsia="Arial" w:hAnsi="Arial"/>
          <w:sz w:val="15"/>
          <w:szCs w:val="15"/>
          <w:color w:val="3C3C3B"/>
        </w:rPr>
        <w:t>GENFIT's expertise in the development of high-potential molecules from early to advanced stages, and in pre-commercialization, was demonstrated in the accelerated approval of Iqirvo® (elafibranor)</w:t>
      </w:r>
      <w:r>
        <w:rPr>
          <w:rFonts w:ascii="Arial" w:cs="Arial" w:eastAsia="Arial" w:hAnsi="Arial"/>
          <w:sz w:val="19"/>
          <w:szCs w:val="19"/>
          <w:color w:val="3C3C3B"/>
          <w:vertAlign w:val="superscript"/>
        </w:rPr>
        <w:t>1</w:t>
      </w:r>
      <w:r>
        <w:rPr>
          <w:rFonts w:ascii="Arial" w:cs="Arial" w:eastAsia="Arial" w:hAnsi="Arial"/>
          <w:sz w:val="15"/>
          <w:szCs w:val="15"/>
          <w:color w:val="3C3C3B"/>
        </w:rPr>
        <w:t xml:space="preserve"> by the U.S. Food and Drug Administration, the European Medicines Agency and the Medicines and Healthcare Regulatory Agency in the UK for Primary Biliary Cholangitis (PBC).</w:t>
      </w:r>
    </w:p>
    <w:p>
      <w:pPr>
        <w:spacing w:after="0" w:line="161"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5"/>
          <w:szCs w:val="15"/>
          <w:color w:val="3C3C3B"/>
        </w:rPr>
        <w:t>Beyond therapies, GENFIT also has a diagnostic franchise including NIS2+® in Metabolic dysfunction-Associated Steatohepatitis (MASH, formerly known as NASH for non-alcoholic steatohepatitis) and TS-01 focusing on blood ammonia levels.</w:t>
      </w:r>
    </w:p>
    <w:p>
      <w:pPr>
        <w:spacing w:after="0" w:line="136" w:lineRule="exact"/>
        <w:rPr>
          <w:sz w:val="20"/>
          <w:szCs w:val="20"/>
          <w:color w:val="auto"/>
        </w:rPr>
      </w:pPr>
    </w:p>
    <w:p>
      <w:pPr>
        <w:jc w:val="both"/>
        <w:ind w:right="100" w:firstLine="318"/>
        <w:spacing w:after="0" w:line="266" w:lineRule="auto"/>
        <w:rPr>
          <w:sz w:val="20"/>
          <w:szCs w:val="20"/>
          <w:color w:val="auto"/>
        </w:rPr>
      </w:pPr>
      <w:r>
        <w:rPr>
          <w:rFonts w:ascii="Arial" w:cs="Arial" w:eastAsia="Arial" w:hAnsi="Arial"/>
          <w:sz w:val="15"/>
          <w:szCs w:val="15"/>
          <w:color w:val="3C3C3B"/>
        </w:rPr>
        <w:t>GENFIT is headquartered in Lille, France and has offices in Paris (France), Zurich (Switzerland) and Cambridge, MA (USA). The Company is listed on the Nasdaq Global Select Market and on the Euronext regulated market in Paris, Compartment B (Nasdaq and Euronext: GNFT). In 2021, Ipsen became one of GENFIT's largest shareholders, acquiring an 8% stake in the Company's capital. www.genfit.com</w:t>
      </w:r>
    </w:p>
    <w:p>
      <w:pPr>
        <w:spacing w:after="0" w:line="88" w:lineRule="exact"/>
        <w:rPr>
          <w:sz w:val="20"/>
          <w:szCs w:val="20"/>
          <w:color w:val="auto"/>
        </w:rPr>
      </w:pPr>
    </w:p>
    <w:p>
      <w:pPr>
        <w:spacing w:after="0"/>
        <w:rPr>
          <w:sz w:val="20"/>
          <w:szCs w:val="20"/>
          <w:color w:val="auto"/>
        </w:rPr>
      </w:pPr>
      <w:r>
        <w:rPr>
          <w:rFonts w:ascii="Arial" w:cs="Arial" w:eastAsia="Arial" w:hAnsi="Arial"/>
          <w:sz w:val="28"/>
          <w:szCs w:val="28"/>
          <w:b w:val="1"/>
          <w:bCs w:val="1"/>
          <w:color w:val="57879D"/>
        </w:rPr>
        <w:t>Overview of the main R&amp;D programs of the Company</w:t>
      </w:r>
    </w:p>
    <w:p>
      <w:pPr>
        <w:spacing w:after="0" w:line="236" w:lineRule="exact"/>
        <w:rPr>
          <w:sz w:val="20"/>
          <w:szCs w:val="20"/>
          <w:color w:val="auto"/>
        </w:rPr>
      </w:pPr>
    </w:p>
    <w:p>
      <w:pPr>
        <w:jc w:val="both"/>
        <w:ind w:right="100" w:firstLine="318"/>
        <w:spacing w:after="0" w:line="293" w:lineRule="auto"/>
        <w:rPr>
          <w:sz w:val="20"/>
          <w:szCs w:val="20"/>
          <w:color w:val="auto"/>
        </w:rPr>
      </w:pPr>
      <w:r>
        <w:rPr>
          <w:rFonts w:ascii="Arial" w:cs="Arial" w:eastAsia="Arial" w:hAnsi="Arial"/>
          <w:sz w:val="15"/>
          <w:szCs w:val="15"/>
          <w:color w:val="3C3C3B"/>
        </w:rPr>
        <w:t>GENFIT remains faithful to its vocation and its specialization in hepatology, and is evolving towards having a portfolio that covers several serious and rare liver diseases that are characterized by largely unmet medical needs and their significant impact on patients’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5452110" cy="2843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843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0" w:hanging="94"/>
        <w:spacing w:after="0"/>
        <w:tabs>
          <w:tab w:leader="none" w:pos="100" w:val="left"/>
        </w:tabs>
        <w:numPr>
          <w:ilvl w:val="0"/>
          <w:numId w:val="5"/>
        </w:numPr>
        <w:rPr>
          <w:rFonts w:ascii="Arial" w:cs="Arial" w:eastAsia="Arial" w:hAnsi="Arial"/>
          <w:sz w:val="18"/>
          <w:szCs w:val="18"/>
          <w:i w:val="1"/>
          <w:iCs w:val="1"/>
          <w:color w:val="3C3C3B"/>
          <w:vertAlign w:val="superscript"/>
        </w:rPr>
      </w:pPr>
      <w:r>
        <w:rPr>
          <w:rFonts w:ascii="Arial" w:cs="Arial" w:eastAsia="Arial" w:hAnsi="Arial"/>
          <w:sz w:val="14"/>
          <w:szCs w:val="14"/>
          <w:i w:val="1"/>
          <w:iCs w:val="1"/>
          <w:color w:val="3C3C3B"/>
        </w:rPr>
        <w:t>Elafibranor is marketed and commercialized, notably in the U.S and Europe, by Ipsen under the trademark Iqirvo</w:t>
      </w:r>
      <w:r>
        <w:rPr>
          <w:rFonts w:ascii="Arial" w:cs="Arial" w:eastAsia="Arial" w:hAnsi="Arial"/>
          <w:sz w:val="18"/>
          <w:szCs w:val="18"/>
          <w:i w:val="1"/>
          <w:iCs w:val="1"/>
          <w:color w:val="3C3C3B"/>
          <w:vertAlign w:val="superscript"/>
        </w:rPr>
        <w:t>®</w:t>
      </w:r>
      <w:r>
        <w:rPr>
          <w:rFonts w:ascii="Arial" w:cs="Arial" w:eastAsia="Arial" w:hAnsi="Arial"/>
          <w:sz w:val="18"/>
          <w:szCs w:val="18"/>
          <w:i w:val="1"/>
          <w:iCs w:val="1"/>
          <w:color w:val="3C3C3B"/>
          <w:vertAlign w:val="subscript"/>
        </w:rPr>
        <w:t>.</w:t>
      </w:r>
    </w:p>
    <w:p>
      <w:pPr>
        <w:spacing w:after="0" w:line="327" w:lineRule="exact"/>
        <w:rPr>
          <w:sz w:val="20"/>
          <w:szCs w:val="20"/>
          <w:color w:val="auto"/>
        </w:rPr>
      </w:pPr>
    </w:p>
    <w:tbl>
      <w:tblPr>
        <w:tblLayout w:type="fixed"/>
        <w:tblInd w:w="2830" w:type="dxa"/>
        <w:tblCellMar>
          <w:top w:w="0" w:type="dxa"/>
          <w:left w:w="0" w:type="dxa"/>
          <w:bottom w:w="0" w:type="dxa"/>
          <w:right w:w="0" w:type="dxa"/>
        </w:tblCellMar>
      </w:tblPr>
      <w:tr>
        <w:trPr>
          <w:trHeight w:val="146"/>
        </w:trPr>
        <w:tc>
          <w:tcPr>
            <w:tcW w:w="7880" w:type="dxa"/>
            <w:vAlign w:val="bottom"/>
            <w:tcBorders>
              <w:left w:val="single" w:sz="8" w:color="57879D"/>
            </w:tcBorders>
            <w:vMerge w:val="restart"/>
          </w:tcPr>
          <w:p>
            <w:pPr>
              <w:ind w:left="40"/>
              <w:spacing w:after="0"/>
              <w:rPr>
                <w:sz w:val="20"/>
                <w:szCs w:val="20"/>
                <w:color w:val="auto"/>
              </w:rPr>
            </w:pPr>
            <w:r>
              <w:rPr>
                <w:rFonts w:ascii="Arial" w:cs="Arial" w:eastAsia="Arial" w:hAnsi="Arial"/>
                <w:sz w:val="15"/>
                <w:szCs w:val="15"/>
                <w:color w:val="3C3C3B"/>
              </w:rPr>
              <w:t>Half-Year Business and Financial Report at June 30, 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7880" w:type="dxa"/>
            <w:vAlign w:val="bottom"/>
            <w:tcBorders>
              <w:left w:val="single" w:sz="8" w:color="57879D"/>
            </w:tcBorders>
            <w:vMerge w:val="continue"/>
          </w:tcPr>
          <w:p>
            <w:pPr>
              <w:spacing w:after="0"/>
              <w:rPr>
                <w:sz w:val="22"/>
                <w:szCs w:val="22"/>
                <w:color w:val="auto"/>
              </w:rPr>
            </w:pPr>
          </w:p>
        </w:tc>
        <w:tc>
          <w:tcPr>
            <w:tcW w:w="640" w:type="dxa"/>
            <w:vAlign w:val="bottom"/>
            <w:shd w:val="clear" w:color="auto" w:fill="DBDBDB"/>
          </w:tcPr>
          <w:p>
            <w:pPr>
              <w:jc w:val="right"/>
              <w:ind w:right="465"/>
              <w:spacing w:after="0"/>
              <w:rPr>
                <w:sz w:val="20"/>
                <w:szCs w:val="20"/>
                <w:color w:val="auto"/>
              </w:rPr>
            </w:pPr>
            <w:r>
              <w:rPr>
                <w:rFonts w:ascii="Arial" w:cs="Arial" w:eastAsia="Arial" w:hAnsi="Arial"/>
                <w:sz w:val="15"/>
                <w:szCs w:val="15"/>
                <w:color w:val="3C3C3B"/>
                <w:w w:val="95"/>
              </w:rPr>
              <w:t>2</w:t>
            </w:r>
          </w:p>
        </w:tc>
        <w:tc>
          <w:tcPr>
            <w:tcW w:w="0" w:type="dxa"/>
            <w:vAlign w:val="bottom"/>
          </w:tcPr>
          <w:p>
            <w:pPr>
              <w:spacing w:after="0"/>
              <w:rPr>
                <w:sz w:val="1"/>
                <w:szCs w:val="1"/>
                <w:color w:val="auto"/>
              </w:rPr>
            </w:pPr>
          </w:p>
        </w:tc>
      </w:tr>
      <w:tr>
        <w:trPr>
          <w:trHeight w:val="71"/>
        </w:trPr>
        <w:tc>
          <w:tcPr>
            <w:tcW w:w="7880" w:type="dxa"/>
            <w:vAlign w:val="bottom"/>
            <w:tcBorders>
              <w:left w:val="single" w:sz="8" w:color="57879D"/>
            </w:tcBorders>
          </w:tcPr>
          <w:p>
            <w:pPr>
              <w:spacing w:after="0"/>
              <w:rPr>
                <w:sz w:val="6"/>
                <w:szCs w:val="6"/>
                <w:color w:val="auto"/>
              </w:rPr>
            </w:pPr>
          </w:p>
        </w:tc>
        <w:tc>
          <w:tcPr>
            <w:tcW w:w="6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7880" w:type="dxa"/>
            <w:vAlign w:val="bottom"/>
            <w:tcBorders>
              <w:left w:val="single" w:sz="8" w:color="57879D"/>
            </w:tcBorders>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-369570</wp:posOffset>
            </wp:positionV>
            <wp:extent cx="1094105" cy="277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4105" cy="277495"/>
                    </a:xfrm>
                    <a:prstGeom prst="rect">
                      <a:avLst/>
                    </a:prstGeom>
                    <a:noFill/>
                  </pic:spPr>
                </pic:pic>
              </a:graphicData>
            </a:graphic>
          </wp:anchor>
        </w:drawing>
      </w:r>
    </w:p>
    <w:p>
      <w:pPr>
        <w:sectPr>
          <w:pgSz w:w="11900" w:h="16838" w:orient="portrait"/>
          <w:cols w:equalWidth="0" w:num="1">
            <w:col w:w="11340"/>
          </w:cols>
          <w:pgMar w:left="320" w:top="1294" w:right="239" w:bottom="1440" w:gutter="0" w:footer="0" w:header="0"/>
        </w:sectPr>
      </w:pPr>
    </w:p>
    <w:bookmarkStart w:id="8" w:name="page9"/>
    <w:bookmarkEnd w:id="8"/>
    <w:p>
      <w:pPr>
        <w:jc w:val="both"/>
        <w:ind w:right="100" w:firstLine="318"/>
        <w:spacing w:after="0" w:line="275" w:lineRule="auto"/>
        <w:rPr>
          <w:sz w:val="20"/>
          <w:szCs w:val="20"/>
          <w:color w:val="auto"/>
        </w:rPr>
      </w:pPr>
      <w:r>
        <w:rPr>
          <w:rFonts w:ascii="Arial" w:cs="Arial" w:eastAsia="Arial" w:hAnsi="Arial"/>
          <w:sz w:val="15"/>
          <w:szCs w:val="15"/>
          <w:color w:val="3C3C3B"/>
        </w:rPr>
        <w:t>Over the past several years, GENFIT has made a strategic pivot towards Acute-On-Chronic Liver Failure (ACLF) — covering a broad spectrum of conditions across a disease continuum including Acute Decompensation (AD) of liver cirrhosis, Hepatic Encephalopathy (HE), etc. — and other life-threatening liver conditions, broadening its research pipeline to include promising drug candidates that aim to meet the urgent and unmet needs of this challenging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5393055" cy="1926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93055" cy="1926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500"/>
        <w:spacing w:after="0" w:line="262" w:lineRule="auto"/>
        <w:rPr>
          <w:sz w:val="20"/>
          <w:szCs w:val="20"/>
          <w:color w:val="auto"/>
        </w:rPr>
      </w:pPr>
      <w:r>
        <w:rPr>
          <w:rFonts w:ascii="Arial" w:cs="Arial" w:eastAsia="Arial" w:hAnsi="Arial"/>
          <w:sz w:val="14"/>
          <w:szCs w:val="14"/>
          <w:i w:val="1"/>
          <w:iCs w:val="1"/>
          <w:color w:val="3C3C3B"/>
        </w:rPr>
        <w:t>Upcoming milestones, data announcements and launch dates are anticipated and subject to change. ACLF: Acute-on-Chronic Liver Failure. CCA: Cholangiocarcinoma; HAC: Hyperammonemic Crises; UCD = Urea Cycle Disorders ; OA = Organic Acidemias ; HE: Hepatic Encephalopathy; MASH: Metabolic dysfunction-Associated Steatohepatitis; G1090N Repositioned (Nitazoxanide or NTZ) and reformulated molecule.</w:t>
      </w:r>
    </w:p>
    <w:p>
      <w:pPr>
        <w:spacing w:after="0" w:line="1" w:lineRule="exact"/>
        <w:rPr>
          <w:sz w:val="20"/>
          <w:szCs w:val="20"/>
          <w:color w:val="auto"/>
        </w:rPr>
      </w:pPr>
    </w:p>
    <w:p>
      <w:pPr>
        <w:jc w:val="both"/>
        <w:ind w:right="100"/>
        <w:spacing w:after="0" w:line="239" w:lineRule="auto"/>
        <w:rPr>
          <w:sz w:val="20"/>
          <w:szCs w:val="20"/>
          <w:color w:val="auto"/>
        </w:rPr>
      </w:pPr>
      <w:r>
        <w:rPr>
          <w:rFonts w:ascii="Arial" w:cs="Arial" w:eastAsia="Arial" w:hAnsi="Arial"/>
          <w:sz w:val="14"/>
          <w:szCs w:val="14"/>
          <w:i w:val="1"/>
          <w:iCs w:val="1"/>
          <w:color w:val="3C3C3B"/>
        </w:rPr>
        <w:t>All drugs under development are investigational compounds that have not been reviewed nor been approved by a regulatory authority in targeted indications. GENFIT has licensed the exclusive worldwide rights of ASK1 Inhibitor SRT-015 (injectable formulation in acute liver disease) from Seal Rock Therapeutics. GENFIT licensed the exclusive worldwide rights of CLM-022, a potential first-in-class inflammasome inhibitor, from Celloram Inc. GENFIT purchased the intellectual property rights underlying GNS651 from Genoscience Pharma in January 2025. Labcorp has a non-exclusive license for the development and commercialization of NIS4</w:t>
      </w:r>
      <w:r>
        <w:rPr>
          <w:rFonts w:ascii="Arial" w:cs="Arial" w:eastAsia="Arial" w:hAnsi="Arial"/>
          <w:sz w:val="18"/>
          <w:szCs w:val="18"/>
          <w:i w:val="1"/>
          <w:iCs w:val="1"/>
          <w:color w:val="3C3C3B"/>
          <w:vertAlign w:val="superscript"/>
        </w:rPr>
        <w:t>®</w:t>
      </w:r>
      <w:r>
        <w:rPr>
          <w:rFonts w:ascii="Arial" w:cs="Arial" w:eastAsia="Arial" w:hAnsi="Arial"/>
          <w:sz w:val="14"/>
          <w:szCs w:val="14"/>
          <w:i w:val="1"/>
          <w:iCs w:val="1"/>
          <w:color w:val="3C3C3B"/>
        </w:rPr>
        <w:t xml:space="preserve"> technology to power a next-generation MASH diagnostic laboratory-developed test (LDT) to identify patients with at-risk MASH in the United States and Canada. NIS2+</w:t>
      </w:r>
      <w:r>
        <w:rPr>
          <w:rFonts w:ascii="Arial" w:cs="Arial" w:eastAsia="Arial" w:hAnsi="Arial"/>
          <w:sz w:val="9"/>
          <w:szCs w:val="9"/>
          <w:i w:val="1"/>
          <w:iCs w:val="1"/>
          <w:color w:val="3C3C3B"/>
        </w:rPr>
        <w:t>®</w:t>
      </w:r>
      <w:r>
        <w:rPr>
          <w:rFonts w:ascii="Arial" w:cs="Arial" w:eastAsia="Arial" w:hAnsi="Arial"/>
          <w:sz w:val="14"/>
          <w:szCs w:val="14"/>
          <w:i w:val="1"/>
          <w:iCs w:val="1"/>
          <w:color w:val="3C3C3B"/>
        </w:rPr>
        <w:t xml:space="preserve"> is a next-generation technology derived from NIS4</w:t>
      </w:r>
      <w:r>
        <w:rPr>
          <w:rFonts w:ascii="Arial" w:cs="Arial" w:eastAsia="Arial" w:hAnsi="Arial"/>
          <w:sz w:val="9"/>
          <w:szCs w:val="9"/>
          <w:i w:val="1"/>
          <w:iCs w:val="1"/>
          <w:color w:val="3C3C3B"/>
        </w:rPr>
        <w:t>®</w:t>
      </w:r>
      <w:r>
        <w:rPr>
          <w:rFonts w:ascii="Arial" w:cs="Arial" w:eastAsia="Arial" w:hAnsi="Arial"/>
          <w:sz w:val="14"/>
          <w:szCs w:val="14"/>
          <w:i w:val="1"/>
          <w:iCs w:val="1"/>
          <w:color w:val="3C3C3B"/>
        </w:rPr>
        <w:t>.</w:t>
      </w:r>
    </w:p>
    <w:p>
      <w:pPr>
        <w:spacing w:after="0" w:line="164" w:lineRule="exact"/>
        <w:rPr>
          <w:sz w:val="20"/>
          <w:szCs w:val="20"/>
          <w:color w:val="auto"/>
        </w:rPr>
      </w:pPr>
    </w:p>
    <w:p>
      <w:pPr>
        <w:jc w:val="both"/>
        <w:ind w:right="100" w:firstLine="318"/>
        <w:spacing w:after="0" w:line="245" w:lineRule="auto"/>
        <w:rPr>
          <w:sz w:val="20"/>
          <w:szCs w:val="20"/>
          <w:color w:val="auto"/>
        </w:rPr>
      </w:pPr>
      <w:r>
        <w:rPr>
          <w:rFonts w:ascii="Arial" w:cs="Arial" w:eastAsia="Arial" w:hAnsi="Arial"/>
          <w:sz w:val="15"/>
          <w:szCs w:val="15"/>
          <w:color w:val="3C3C3B"/>
        </w:rPr>
        <w:t>In December 2021, we entered into a license agreement with Ipsen, granting Ipsen a global license</w:t>
      </w:r>
      <w:r>
        <w:rPr>
          <w:rFonts w:ascii="Arial" w:cs="Arial" w:eastAsia="Arial" w:hAnsi="Arial"/>
          <w:sz w:val="19"/>
          <w:szCs w:val="19"/>
          <w:color w:val="3C3C3B"/>
          <w:vertAlign w:val="superscript"/>
        </w:rPr>
        <w:t>2</w:t>
      </w:r>
      <w:r>
        <w:rPr>
          <w:rFonts w:ascii="Arial" w:cs="Arial" w:eastAsia="Arial" w:hAnsi="Arial"/>
          <w:sz w:val="15"/>
          <w:szCs w:val="15"/>
          <w:color w:val="3C3C3B"/>
        </w:rPr>
        <w:t xml:space="preserve"> to develop, manufacture, and commercialize elafibranor for the treatment of patients with Primary Biliary Cholangitis (PBC) and other indications. GENFIT led the research and clinical development of elafibranor through the Phase 3 ELATIVE® trial in PBC. Ipsen is now responsible for all future clinical development, including completion of the long-term extension of the Phase 3 ELATIVE® trial, as well as global commercialization which notably began in several countries including the United States and several European Economic Area (EEA) countries in 2024 under the name Iqirvo® (elafibranor). GENFIT has received and continues to receive revenue from this agreement in the form of milestone payments and royalties on sales subject to thresholds. For more information regarding the license agreement with Ipsen, see </w:t>
      </w:r>
      <w:r>
        <w:rPr>
          <w:rFonts w:ascii="Arial" w:cs="Arial" w:eastAsia="Arial" w:hAnsi="Arial"/>
          <w:sz w:val="15"/>
          <w:szCs w:val="15"/>
          <w:u w:val="single" w:color="auto"/>
          <w:color w:val="0000FF"/>
        </w:rPr>
        <w:t>Note 24</w:t>
      </w:r>
      <w:r>
        <w:rPr>
          <w:rFonts w:ascii="Arial" w:cs="Arial" w:eastAsia="Arial" w:hAnsi="Arial"/>
          <w:sz w:val="15"/>
          <w:szCs w:val="15"/>
          <w:color w:val="3C3C3B"/>
        </w:rPr>
        <w:t>. Under the royalty financing agreement signed with HCRx in March 2025, HCRx receives a portion of royalties on sales of Iqirvo® (elafibranor) payable to GENFIT under its licensing agreement with Ipsen, up to an agreed upon cap after which all future royalties will revert back to GENFIT (see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273050</wp:posOffset>
            </wp:positionV>
            <wp:extent cx="22212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2123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00" w:hanging="94"/>
        <w:spacing w:after="0"/>
        <w:tabs>
          <w:tab w:leader="none" w:pos="100" w:val="left"/>
        </w:tabs>
        <w:numPr>
          <w:ilvl w:val="0"/>
          <w:numId w:val="6"/>
        </w:numPr>
        <w:rPr>
          <w:rFonts w:ascii="Arial" w:cs="Arial" w:eastAsia="Arial" w:hAnsi="Arial"/>
          <w:sz w:val="20"/>
          <w:szCs w:val="20"/>
          <w:color w:val="3C3C3B"/>
          <w:vertAlign w:val="superscript"/>
        </w:rPr>
      </w:pPr>
      <w:r>
        <w:rPr>
          <w:rFonts w:ascii="Arial" w:cs="Arial" w:eastAsia="Arial" w:hAnsi="Arial"/>
          <w:sz w:val="14"/>
          <w:szCs w:val="14"/>
          <w:i w:val="1"/>
          <w:iCs w:val="1"/>
          <w:color w:val="3C3C3B"/>
        </w:rPr>
        <w:t>Except for China, Hong Kong, Taiwan, and Macau.</w:t>
      </w:r>
    </w:p>
    <w:p>
      <w:pPr>
        <w:spacing w:after="0" w:line="300" w:lineRule="exact"/>
        <w:rPr>
          <w:sz w:val="20"/>
          <w:szCs w:val="20"/>
          <w:color w:val="auto"/>
        </w:rPr>
      </w:pPr>
    </w:p>
    <w:tbl>
      <w:tblPr>
        <w:tblLayout w:type="fixed"/>
        <w:tblInd w:w="2830" w:type="dxa"/>
        <w:tblCellMar>
          <w:top w:w="0" w:type="dxa"/>
          <w:left w:w="0" w:type="dxa"/>
          <w:bottom w:w="0" w:type="dxa"/>
          <w:right w:w="0" w:type="dxa"/>
        </w:tblCellMar>
      </w:tblPr>
      <w:tr>
        <w:trPr>
          <w:trHeight w:val="146"/>
        </w:trPr>
        <w:tc>
          <w:tcPr>
            <w:tcW w:w="7880" w:type="dxa"/>
            <w:vAlign w:val="bottom"/>
            <w:tcBorders>
              <w:left w:val="single" w:sz="8" w:color="57879D"/>
            </w:tcBorders>
            <w:vMerge w:val="restart"/>
          </w:tcPr>
          <w:p>
            <w:pPr>
              <w:ind w:left="40"/>
              <w:spacing w:after="0"/>
              <w:rPr>
                <w:sz w:val="20"/>
                <w:szCs w:val="20"/>
                <w:color w:val="auto"/>
              </w:rPr>
            </w:pPr>
            <w:r>
              <w:rPr>
                <w:rFonts w:ascii="Arial" w:cs="Arial" w:eastAsia="Arial" w:hAnsi="Arial"/>
                <w:sz w:val="15"/>
                <w:szCs w:val="15"/>
                <w:color w:val="3C3C3B"/>
              </w:rPr>
              <w:t>Half-Year Business and Financial Report at June 30, 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7880" w:type="dxa"/>
            <w:vAlign w:val="bottom"/>
            <w:tcBorders>
              <w:left w:val="single" w:sz="8" w:color="57879D"/>
            </w:tcBorders>
            <w:vMerge w:val="continue"/>
          </w:tcPr>
          <w:p>
            <w:pPr>
              <w:spacing w:after="0"/>
              <w:rPr>
                <w:sz w:val="22"/>
                <w:szCs w:val="22"/>
                <w:color w:val="auto"/>
              </w:rPr>
            </w:pPr>
          </w:p>
        </w:tc>
        <w:tc>
          <w:tcPr>
            <w:tcW w:w="640" w:type="dxa"/>
            <w:vAlign w:val="bottom"/>
            <w:shd w:val="clear" w:color="auto" w:fill="DBDBDB"/>
          </w:tcPr>
          <w:p>
            <w:pPr>
              <w:jc w:val="right"/>
              <w:ind w:right="465"/>
              <w:spacing w:after="0"/>
              <w:rPr>
                <w:sz w:val="20"/>
                <w:szCs w:val="20"/>
                <w:color w:val="auto"/>
              </w:rPr>
            </w:pPr>
            <w:r>
              <w:rPr>
                <w:rFonts w:ascii="Arial" w:cs="Arial" w:eastAsia="Arial" w:hAnsi="Arial"/>
                <w:sz w:val="15"/>
                <w:szCs w:val="15"/>
                <w:color w:val="3C3C3B"/>
                <w:w w:val="95"/>
              </w:rPr>
              <w:t>3</w:t>
            </w:r>
          </w:p>
        </w:tc>
        <w:tc>
          <w:tcPr>
            <w:tcW w:w="0" w:type="dxa"/>
            <w:vAlign w:val="bottom"/>
          </w:tcPr>
          <w:p>
            <w:pPr>
              <w:spacing w:after="0"/>
              <w:rPr>
                <w:sz w:val="1"/>
                <w:szCs w:val="1"/>
                <w:color w:val="auto"/>
              </w:rPr>
            </w:pPr>
          </w:p>
        </w:tc>
      </w:tr>
      <w:tr>
        <w:trPr>
          <w:trHeight w:val="71"/>
        </w:trPr>
        <w:tc>
          <w:tcPr>
            <w:tcW w:w="7880" w:type="dxa"/>
            <w:vAlign w:val="bottom"/>
            <w:tcBorders>
              <w:left w:val="single" w:sz="8" w:color="57879D"/>
            </w:tcBorders>
          </w:tcPr>
          <w:p>
            <w:pPr>
              <w:spacing w:after="0"/>
              <w:rPr>
                <w:sz w:val="6"/>
                <w:szCs w:val="6"/>
                <w:color w:val="auto"/>
              </w:rPr>
            </w:pPr>
          </w:p>
        </w:tc>
        <w:tc>
          <w:tcPr>
            <w:tcW w:w="6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7880" w:type="dxa"/>
            <w:vAlign w:val="bottom"/>
            <w:tcBorders>
              <w:left w:val="single" w:sz="8" w:color="57879D"/>
            </w:tcBorders>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-369570</wp:posOffset>
            </wp:positionV>
            <wp:extent cx="1094105" cy="277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94105" cy="277495"/>
                    </a:xfrm>
                    <a:prstGeom prst="rect">
                      <a:avLst/>
                    </a:prstGeom>
                    <a:noFill/>
                  </pic:spPr>
                </pic:pic>
              </a:graphicData>
            </a:graphic>
          </wp:anchor>
        </w:drawing>
      </w:r>
    </w:p>
    <w:p>
      <w:pPr>
        <w:sectPr>
          <w:pgSz w:w="11900" w:h="16838" w:orient="portrait"/>
          <w:cols w:equalWidth="0" w:num="1">
            <w:col w:w="11340"/>
          </w:cols>
          <w:pgMar w:left="320" w:top="1315" w:right="239" w:bottom="1440" w:gutter="0" w:footer="0" w:header="0"/>
        </w:sectPr>
      </w:pPr>
    </w:p>
    <w:bookmarkStart w:id="9" w:name="page10"/>
    <w:bookmarkEnd w:id="9"/>
    <w:p>
      <w:pPr>
        <w:ind w:left="1200" w:hanging="1176"/>
        <w:spacing w:after="0"/>
        <w:tabs>
          <w:tab w:leader="none" w:pos="1200" w:val="left"/>
        </w:tabs>
        <w:numPr>
          <w:ilvl w:val="0"/>
          <w:numId w:val="7"/>
        </w:numPr>
        <w:rPr>
          <w:rFonts w:ascii="Arial" w:cs="Arial" w:eastAsia="Arial" w:hAnsi="Arial"/>
          <w:sz w:val="35"/>
          <w:szCs w:val="35"/>
          <w:b w:val="1"/>
          <w:bCs w:val="1"/>
          <w:color w:val="57879D"/>
        </w:rPr>
      </w:pPr>
      <w:r>
        <w:rPr>
          <w:rFonts w:ascii="Arial" w:cs="Arial" w:eastAsia="Arial" w:hAnsi="Arial"/>
          <w:sz w:val="35"/>
          <w:szCs w:val="35"/>
          <w:b w:val="1"/>
          <w:bCs w:val="1"/>
          <w:color w:val="57879D"/>
        </w:rPr>
        <w:t>HALF-YEAR MANAGEMENT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1266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180" w:right="500" w:hanging="1165"/>
        <w:spacing w:after="0" w:line="295" w:lineRule="auto"/>
        <w:tabs>
          <w:tab w:leader="none" w:pos="1160" w:val="left"/>
        </w:tabs>
        <w:rPr>
          <w:sz w:val="20"/>
          <w:szCs w:val="20"/>
          <w:color w:val="auto"/>
        </w:rPr>
      </w:pPr>
      <w:r>
        <w:rPr>
          <w:rFonts w:ascii="Arial" w:cs="Arial" w:eastAsia="Arial" w:hAnsi="Arial"/>
          <w:sz w:val="28"/>
          <w:szCs w:val="28"/>
          <w:b w:val="1"/>
          <w:bCs w:val="1"/>
          <w:color w:val="57879D"/>
        </w:rPr>
        <w:t>2.1</w:t>
      </w:r>
      <w:r>
        <w:rPr>
          <w:sz w:val="20"/>
          <w:szCs w:val="20"/>
          <w:color w:val="auto"/>
        </w:rPr>
        <w:tab/>
      </w:r>
      <w:r>
        <w:rPr>
          <w:rFonts w:ascii="Arial" w:cs="Arial" w:eastAsia="Arial" w:hAnsi="Arial"/>
          <w:sz w:val="28"/>
          <w:szCs w:val="28"/>
          <w:b w:val="1"/>
          <w:bCs w:val="1"/>
          <w:color w:val="57879D"/>
        </w:rPr>
        <w:t>Key Events of the First Half of 2025 and Main Events after the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266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318" w:lineRule="exact"/>
        <w:rPr>
          <w:sz w:val="20"/>
          <w:szCs w:val="20"/>
          <w:color w:val="auto"/>
        </w:rPr>
      </w:pPr>
    </w:p>
    <w:p>
      <w:pPr>
        <w:ind w:left="1580" w:right="360"/>
        <w:spacing w:after="0" w:line="313" w:lineRule="auto"/>
        <w:rPr>
          <w:sz w:val="20"/>
          <w:szCs w:val="20"/>
          <w:color w:val="auto"/>
        </w:rPr>
      </w:pPr>
      <w:r>
        <w:rPr>
          <w:rFonts w:ascii="Arial" w:cs="Arial" w:eastAsia="Arial" w:hAnsi="Arial"/>
          <w:sz w:val="21"/>
          <w:szCs w:val="21"/>
          <w:b w:val="1"/>
          <w:bCs w:val="1"/>
          <w:color w:val="005578"/>
        </w:rPr>
        <w:t>Financing: Closing of a royalty financing agreement with HCRx and near-total reimbursement of convertible debt, significantly extends the cash runway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8242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right="100" w:firstLine="318"/>
        <w:spacing w:after="0" w:line="242" w:lineRule="auto"/>
        <w:rPr>
          <w:sz w:val="20"/>
          <w:szCs w:val="20"/>
          <w:color w:val="auto"/>
        </w:rPr>
      </w:pPr>
      <w:r>
        <w:rPr>
          <w:rFonts w:ascii="Arial" w:cs="Arial" w:eastAsia="Arial" w:hAnsi="Arial"/>
          <w:sz w:val="15"/>
          <w:szCs w:val="15"/>
          <w:color w:val="3C3C3B"/>
        </w:rPr>
        <w:t>On March 20, 2025, GENFIT announced the closing of a royalty financing transaction (Royalty Financing) with HealthCare Royalty (HCRx) providing up to €185 million non-dilutive capital: €130 million upfront, with eligibility to receive up to €55 million in two additional installments based on near-term sales milestones for Iqirvo® (elafibranor), and can be exercised at the discretion of GENFIT upon achievement of such milestones. In return, HCRx will receive a portion of royalties on global</w:t>
      </w:r>
      <w:r>
        <w:rPr>
          <w:rFonts w:ascii="Arial" w:cs="Arial" w:eastAsia="Arial" w:hAnsi="Arial"/>
          <w:sz w:val="19"/>
          <w:szCs w:val="19"/>
          <w:color w:val="3C3C3B"/>
          <w:vertAlign w:val="superscript"/>
        </w:rPr>
        <w:t>3</w:t>
      </w:r>
      <w:r>
        <w:rPr>
          <w:rFonts w:ascii="Arial" w:cs="Arial" w:eastAsia="Arial" w:hAnsi="Arial"/>
          <w:sz w:val="15"/>
          <w:szCs w:val="15"/>
          <w:color w:val="3C3C3B"/>
        </w:rPr>
        <w:t xml:space="preserve"> sales of Iqirvo® (elafibranor) payable to GENFIT under its licensing agreement with Ipsen, up to an agreed upon cap after which all future royalties will revert back to GENFIT.</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GENFIT retains rights to all future regulatory, commercial and sales-based milestone payments from Ipsen under the Ipsen agreement.</w:t>
      </w:r>
    </w:p>
    <w:p>
      <w:pPr>
        <w:spacing w:after="0" w:line="185" w:lineRule="exact"/>
        <w:rPr>
          <w:sz w:val="20"/>
          <w:szCs w:val="20"/>
          <w:color w:val="auto"/>
        </w:rPr>
      </w:pPr>
    </w:p>
    <w:p>
      <w:pPr>
        <w:jc w:val="both"/>
        <w:ind w:right="100" w:firstLine="318"/>
        <w:spacing w:after="0" w:line="244" w:lineRule="auto"/>
        <w:rPr>
          <w:sz w:val="20"/>
          <w:szCs w:val="20"/>
          <w:color w:val="auto"/>
        </w:rPr>
      </w:pPr>
      <w:r>
        <w:rPr>
          <w:rFonts w:ascii="Arial" w:cs="Arial" w:eastAsia="Arial" w:hAnsi="Arial"/>
          <w:sz w:val="15"/>
          <w:szCs w:val="15"/>
          <w:color w:val="3C3C3B"/>
        </w:rPr>
        <w:t>The Royalty Financing has significantly extended GENFIT’s cash runway, beyond the end of 2028, enabling the Company to further develop its pipeline focused on Acute-on-Chronic Liver Failure (ACLF) and support general corporate purposes. This estimation is based on current assumptions and programs and does not include exceptional events. This estimation assumes i) our expectation to receive significant future commercial milestone revenue pursuant to the license agreement with Ipsen and Ipsen meeting its sales-based thresholds</w:t>
      </w:r>
      <w:r>
        <w:rPr>
          <w:rFonts w:ascii="Arial" w:cs="Arial" w:eastAsia="Arial" w:hAnsi="Arial"/>
          <w:sz w:val="19"/>
          <w:szCs w:val="19"/>
          <w:color w:val="3C3C3B"/>
          <w:vertAlign w:val="superscript"/>
        </w:rPr>
        <w:t>4</w:t>
      </w:r>
      <w:r>
        <w:rPr>
          <w:rFonts w:ascii="Arial" w:cs="Arial" w:eastAsia="Arial" w:hAnsi="Arial"/>
          <w:sz w:val="15"/>
          <w:szCs w:val="15"/>
          <w:color w:val="3C3C3B"/>
        </w:rPr>
        <w:t>, ii) drawing down all additional installments under the Royalty Financing, and iii) the reimbursement at maturity in October 2025 of any OCEANEs not converted or repurchased and cancelled, and iv) the discontinuation of the VS-01 program in ACLF as outlined below at the end of this section.</w:t>
      </w:r>
    </w:p>
    <w:p>
      <w:pPr>
        <w:spacing w:after="0" w:line="160" w:lineRule="exact"/>
        <w:rPr>
          <w:sz w:val="20"/>
          <w:szCs w:val="20"/>
          <w:color w:val="auto"/>
        </w:rPr>
      </w:pPr>
    </w:p>
    <w:p>
      <w:pPr>
        <w:jc w:val="both"/>
        <w:ind w:right="100" w:firstLine="318"/>
        <w:spacing w:after="0" w:line="266" w:lineRule="auto"/>
        <w:rPr>
          <w:sz w:val="20"/>
          <w:szCs w:val="20"/>
          <w:color w:val="auto"/>
        </w:rPr>
      </w:pPr>
      <w:r>
        <w:rPr>
          <w:rFonts w:ascii="Arial" w:cs="Arial" w:eastAsia="Arial" w:hAnsi="Arial"/>
          <w:sz w:val="15"/>
          <w:szCs w:val="15"/>
          <w:color w:val="3C3C3B"/>
        </w:rPr>
        <w:t>Concurrently with the Royalty Financing, GENFIT proposed to OCEANEs holders the possibility to enter into a put option agreement for the repurchase of their OCEANEs (Repurchase). Following this proposal, holders of OCEANEs exercised their put option for a total of 1,882,891 OCEANEs, i.e. 99% of the total number of OCEANEs outstanding. At a price of €32.75 per bond, this represented a total Repurchase amount of €61.7 million.</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 xml:space="preserve">For more information regarding the Royalty Financing transaction, see </w:t>
      </w:r>
      <w:r>
        <w:rPr>
          <w:rFonts w:ascii="Arial" w:cs="Arial" w:eastAsia="Arial" w:hAnsi="Arial"/>
          <w:sz w:val="15"/>
          <w:szCs w:val="15"/>
          <w:u w:val="single" w:color="auto"/>
          <w:color w:val="0000FF"/>
        </w:rPr>
        <w:t>Note 2.1</w:t>
      </w:r>
      <w:r>
        <w:rPr>
          <w:rFonts w:ascii="Arial" w:cs="Arial" w:eastAsia="Arial" w:hAnsi="Arial"/>
          <w:sz w:val="15"/>
          <w:szCs w:val="15"/>
          <w:color w:val="3C3C3B"/>
        </w:rPr>
        <w:t xml:space="preserve"> to the financial statements for the half year ended June 30, 2025.</w:t>
      </w:r>
    </w:p>
    <w:p>
      <w:pPr>
        <w:spacing w:after="0" w:line="236" w:lineRule="exact"/>
        <w:rPr>
          <w:sz w:val="20"/>
          <w:szCs w:val="20"/>
          <w:color w:val="auto"/>
        </w:rPr>
      </w:pPr>
    </w:p>
    <w:p>
      <w:pPr>
        <w:ind w:left="1580" w:right="240"/>
        <w:spacing w:after="0" w:line="238" w:lineRule="auto"/>
        <w:rPr>
          <w:sz w:val="20"/>
          <w:szCs w:val="20"/>
          <w:color w:val="auto"/>
        </w:rPr>
      </w:pPr>
      <w:r>
        <w:rPr>
          <w:rFonts w:ascii="Arial" w:cs="Arial" w:eastAsia="Arial" w:hAnsi="Arial"/>
          <w:sz w:val="21"/>
          <w:szCs w:val="21"/>
          <w:b w:val="1"/>
          <w:bCs w:val="1"/>
          <w:color w:val="005578"/>
        </w:rPr>
        <w:t>PBC: New milestone payment, encouraging information regarding sales of Iqirvo</w:t>
      </w:r>
      <w:r>
        <w:rPr>
          <w:rFonts w:ascii="Arial" w:cs="Arial" w:eastAsia="Arial" w:hAnsi="Arial"/>
          <w:sz w:val="27"/>
          <w:szCs w:val="27"/>
          <w:b w:val="1"/>
          <w:bCs w:val="1"/>
          <w:color w:val="005578"/>
          <w:vertAlign w:val="superscript"/>
        </w:rPr>
        <w:t>®</w:t>
      </w:r>
      <w:r>
        <w:rPr>
          <w:rFonts w:ascii="Arial" w:cs="Arial" w:eastAsia="Arial" w:hAnsi="Arial"/>
          <w:sz w:val="21"/>
          <w:szCs w:val="21"/>
          <w:b w:val="1"/>
          <w:bCs w:val="1"/>
          <w:color w:val="005578"/>
        </w:rPr>
        <w:t xml:space="preserve"> (elafibranor) by our partner Ipsen, and withdrawal of market competitor in US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8242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E99D25"/>
        </w:rPr>
        <w:t>€26.5 million milestone payment following the approval of pricing and reimbursement of Ipsen’s Iqirvo</w:t>
      </w:r>
      <w:r>
        <w:rPr>
          <w:rFonts w:ascii="Arial" w:cs="Arial" w:eastAsia="Arial" w:hAnsi="Arial"/>
          <w:sz w:val="22"/>
          <w:szCs w:val="22"/>
          <w:b w:val="1"/>
          <w:bCs w:val="1"/>
          <w:color w:val="E99D25"/>
          <w:vertAlign w:val="superscript"/>
        </w:rPr>
        <w:t>®</w:t>
      </w:r>
      <w:r>
        <w:rPr>
          <w:rFonts w:ascii="Arial" w:cs="Arial" w:eastAsia="Arial" w:hAnsi="Arial"/>
          <w:sz w:val="18"/>
          <w:szCs w:val="18"/>
          <w:b w:val="1"/>
          <w:bCs w:val="1"/>
          <w:color w:val="E99D25"/>
        </w:rPr>
        <w:t xml:space="preserve"> (elafibranor) in 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76" w:lineRule="exact"/>
        <w:rPr>
          <w:sz w:val="20"/>
          <w:szCs w:val="20"/>
          <w:color w:val="auto"/>
        </w:rPr>
      </w:pPr>
    </w:p>
    <w:p>
      <w:pPr>
        <w:ind w:right="100" w:firstLine="318"/>
        <w:spacing w:after="0" w:line="284" w:lineRule="auto"/>
        <w:rPr>
          <w:sz w:val="20"/>
          <w:szCs w:val="20"/>
          <w:color w:val="auto"/>
        </w:rPr>
      </w:pPr>
      <w:r>
        <w:rPr>
          <w:rFonts w:ascii="Arial" w:cs="Arial" w:eastAsia="Arial" w:hAnsi="Arial"/>
          <w:sz w:val="15"/>
          <w:szCs w:val="15"/>
          <w:color w:val="3C3C3B"/>
        </w:rPr>
        <w:t>In May 2025, Iqirvo® (elafibranor) was granted pricing and reimbursement in Italy for PBC. This major step unlocked a new milestone payment of €26.5 million under our licensing and collaboration agreement with Ipsen, due upon pricing and reimbursement of Iqirvo® (elafibranor) in three major European markets</w:t>
      </w:r>
      <w:r>
        <w:rPr>
          <w:rFonts w:ascii="Arial" w:cs="Arial" w:eastAsia="Arial" w:hAnsi="Arial"/>
          <w:sz w:val="19"/>
          <w:szCs w:val="19"/>
          <w:color w:val="3C3C3B"/>
          <w:vertAlign w:val="superscript"/>
        </w:rPr>
        <w:t>5</w:t>
      </w:r>
      <w:r>
        <w:rPr>
          <w:rFonts w:ascii="Arial" w:cs="Arial" w:eastAsia="Arial" w:hAnsi="Arial"/>
          <w:sz w:val="15"/>
          <w:szCs w:val="15"/>
          <w:color w:val="3C3C3B"/>
        </w:rPr>
        <w:t>.</w:t>
      </w:r>
    </w:p>
    <w:p>
      <w:pPr>
        <w:spacing w:after="0" w:line="200" w:lineRule="exact"/>
        <w:rPr>
          <w:sz w:val="20"/>
          <w:szCs w:val="20"/>
          <w:color w:val="auto"/>
        </w:rPr>
      </w:pPr>
    </w:p>
    <w:p>
      <w:pPr>
        <w:spacing w:after="0" w:line="286" w:lineRule="exact"/>
        <w:rPr>
          <w:sz w:val="20"/>
          <w:szCs w:val="20"/>
          <w:color w:val="auto"/>
        </w:rPr>
      </w:pPr>
    </w:p>
    <w:p>
      <w:pPr>
        <w:ind w:left="20" w:right="200"/>
        <w:spacing w:after="0" w:line="270" w:lineRule="auto"/>
        <w:rPr>
          <w:sz w:val="20"/>
          <w:szCs w:val="20"/>
          <w:color w:val="auto"/>
        </w:rPr>
      </w:pPr>
      <w:r>
        <w:rPr>
          <w:rFonts w:ascii="Arial" w:cs="Arial" w:eastAsia="Arial" w:hAnsi="Arial"/>
          <w:sz w:val="18"/>
          <w:szCs w:val="18"/>
          <w:b w:val="1"/>
          <w:bCs w:val="1"/>
          <w:color w:val="E99D25"/>
        </w:rPr>
        <w:t>Accelerated sales growth for Iqirvo</w:t>
      </w:r>
      <w:r>
        <w:rPr>
          <w:rFonts w:ascii="Arial" w:cs="Arial" w:eastAsia="Arial" w:hAnsi="Arial"/>
          <w:sz w:val="22"/>
          <w:szCs w:val="22"/>
          <w:b w:val="1"/>
          <w:bCs w:val="1"/>
          <w:color w:val="E99D25"/>
          <w:vertAlign w:val="superscript"/>
        </w:rPr>
        <w:t>®</w:t>
      </w:r>
      <w:r>
        <w:rPr>
          <w:rFonts w:ascii="Arial" w:cs="Arial" w:eastAsia="Arial" w:hAnsi="Arial"/>
          <w:sz w:val="18"/>
          <w:szCs w:val="18"/>
          <w:b w:val="1"/>
          <w:bCs w:val="1"/>
          <w:color w:val="E99D25"/>
        </w:rPr>
        <w:t xml:space="preserve"> (elafibranor) in the first half of 2025 and withdrawal of OCALIVA</w:t>
      </w:r>
      <w:r>
        <w:rPr>
          <w:rFonts w:ascii="Arial" w:cs="Arial" w:eastAsia="Arial" w:hAnsi="Arial"/>
          <w:sz w:val="22"/>
          <w:szCs w:val="22"/>
          <w:b w:val="1"/>
          <w:bCs w:val="1"/>
          <w:color w:val="E99D25"/>
          <w:vertAlign w:val="superscript"/>
        </w:rPr>
        <w:t>®</w:t>
      </w:r>
      <w:r>
        <w:rPr>
          <w:rFonts w:ascii="Arial" w:cs="Arial" w:eastAsia="Arial" w:hAnsi="Arial"/>
          <w:sz w:val="18"/>
          <w:szCs w:val="18"/>
          <w:b w:val="1"/>
          <w:bCs w:val="1"/>
          <w:color w:val="E99D25"/>
        </w:rPr>
        <w:t xml:space="preserve"> (obeticholic acid) for PBC from the US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134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50" w:lineRule="exact"/>
        <w:rPr>
          <w:sz w:val="20"/>
          <w:szCs w:val="20"/>
          <w:color w:val="auto"/>
        </w:rPr>
      </w:pPr>
    </w:p>
    <w:p>
      <w:pPr>
        <w:ind w:right="100" w:firstLine="318"/>
        <w:spacing w:after="0" w:line="284" w:lineRule="auto"/>
        <w:rPr>
          <w:sz w:val="20"/>
          <w:szCs w:val="20"/>
          <w:color w:val="auto"/>
        </w:rPr>
      </w:pPr>
      <w:r>
        <w:rPr>
          <w:rFonts w:ascii="Arial" w:cs="Arial" w:eastAsia="Arial" w:hAnsi="Arial"/>
          <w:sz w:val="15"/>
          <w:szCs w:val="15"/>
          <w:color w:val="3C3C3B"/>
        </w:rPr>
        <w:t>In July, 2025, Ipsen reported “accelerated sales growth of €59 million in the first half of 2025 in the U.S. and in Europe (mainly Germany &amp; U.K.) driven by increasing uptake from new patients, switch and market expansion sales for Iqirvo</w:t>
      </w:r>
      <w:r>
        <w:rPr>
          <w:rFonts w:ascii="Arial" w:cs="Arial" w:eastAsia="Arial" w:hAnsi="Arial"/>
          <w:sz w:val="19"/>
          <w:szCs w:val="19"/>
          <w:color w:val="3C3C3B"/>
          <w:vertAlign w:val="superscript"/>
        </w:rPr>
        <w:t>®</w:t>
      </w:r>
      <w:r>
        <w:rPr>
          <w:rFonts w:ascii="Arial" w:cs="Arial" w:eastAsia="Arial" w:hAnsi="Arial"/>
          <w:sz w:val="15"/>
          <w:szCs w:val="15"/>
          <w:color w:val="3C3C3B"/>
        </w:rPr>
        <w:t xml:space="preserve"> (elafibranor)</w:t>
      </w:r>
      <w:r>
        <w:rPr>
          <w:rFonts w:ascii="Arial" w:cs="Arial" w:eastAsia="Arial" w:hAnsi="Arial"/>
          <w:sz w:val="19"/>
          <w:szCs w:val="19"/>
          <w:color w:val="3C3C3B"/>
          <w:vertAlign w:val="superscript"/>
        </w:rPr>
        <w:t>6</w:t>
      </w:r>
      <w:r>
        <w:rPr>
          <w:rFonts w:ascii="Arial" w:cs="Arial" w:eastAsia="Arial" w:hAnsi="Arial"/>
          <w:sz w:val="15"/>
          <w:szCs w:val="15"/>
          <w:color w:val="3C3C3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62230</wp:posOffset>
            </wp:positionV>
            <wp:extent cx="22212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21230" cy="8255"/>
                    </a:xfrm>
                    <a:prstGeom prst="rect">
                      <a:avLst/>
                    </a:prstGeom>
                    <a:noFill/>
                  </pic:spPr>
                </pic:pic>
              </a:graphicData>
            </a:graphic>
          </wp:anchor>
        </w:drawing>
      </w:r>
    </w:p>
    <w:p>
      <w:pPr>
        <w:spacing w:after="0" w:line="117" w:lineRule="exact"/>
        <w:rPr>
          <w:sz w:val="20"/>
          <w:szCs w:val="20"/>
          <w:color w:val="auto"/>
        </w:rPr>
      </w:pPr>
    </w:p>
    <w:p>
      <w:pPr>
        <w:ind w:left="100" w:hanging="94"/>
        <w:spacing w:after="0"/>
        <w:tabs>
          <w:tab w:leader="none" w:pos="100" w:val="left"/>
        </w:tabs>
        <w:numPr>
          <w:ilvl w:val="0"/>
          <w:numId w:val="8"/>
        </w:numPr>
        <w:rPr>
          <w:rFonts w:ascii="Arial" w:cs="Arial" w:eastAsia="Arial" w:hAnsi="Arial"/>
          <w:sz w:val="20"/>
          <w:szCs w:val="20"/>
          <w:color w:val="3C3C3B"/>
          <w:vertAlign w:val="superscript"/>
        </w:rPr>
      </w:pPr>
      <w:r>
        <w:rPr>
          <w:rFonts w:ascii="Arial" w:cs="Arial" w:eastAsia="Arial" w:hAnsi="Arial"/>
          <w:sz w:val="14"/>
          <w:szCs w:val="14"/>
          <w:i w:val="1"/>
          <w:iCs w:val="1"/>
          <w:color w:val="3C3C3B"/>
        </w:rPr>
        <w:t>Excluding China, Hong Kong, Taiwan and Macau.</w:t>
      </w:r>
    </w:p>
    <w:p>
      <w:pPr>
        <w:spacing w:after="0" w:line="115" w:lineRule="exact"/>
        <w:rPr>
          <w:sz w:val="20"/>
          <w:szCs w:val="20"/>
          <w:color w:val="auto"/>
        </w:rPr>
      </w:pPr>
    </w:p>
    <w:p>
      <w:pPr>
        <w:ind w:left="100" w:hanging="94"/>
        <w:spacing w:after="0"/>
        <w:tabs>
          <w:tab w:leader="none" w:pos="100" w:val="left"/>
        </w:tabs>
        <w:numPr>
          <w:ilvl w:val="0"/>
          <w:numId w:val="9"/>
        </w:numPr>
        <w:rPr>
          <w:rFonts w:ascii="Arial" w:cs="Arial" w:eastAsia="Arial" w:hAnsi="Arial"/>
          <w:sz w:val="20"/>
          <w:szCs w:val="20"/>
          <w:color w:val="3C3C3B"/>
          <w:vertAlign w:val="superscript"/>
        </w:rPr>
      </w:pPr>
      <w:r>
        <w:rPr>
          <w:rFonts w:ascii="Arial" w:cs="Arial" w:eastAsia="Arial" w:hAnsi="Arial"/>
          <w:sz w:val="14"/>
          <w:szCs w:val="14"/>
          <w:i w:val="1"/>
          <w:iCs w:val="1"/>
          <w:color w:val="3C3C3B"/>
        </w:rPr>
        <w:t>For a total of €586 thousand as of the date of this report.</w:t>
      </w:r>
    </w:p>
    <w:p>
      <w:pPr>
        <w:spacing w:after="0" w:line="128" w:lineRule="exact"/>
        <w:rPr>
          <w:sz w:val="20"/>
          <w:szCs w:val="20"/>
          <w:color w:val="auto"/>
        </w:rPr>
      </w:pPr>
    </w:p>
    <w:p>
      <w:pPr>
        <w:ind w:left="100" w:hanging="94"/>
        <w:spacing w:after="0"/>
        <w:tabs>
          <w:tab w:leader="none" w:pos="100" w:val="left"/>
        </w:tabs>
        <w:numPr>
          <w:ilvl w:val="0"/>
          <w:numId w:val="10"/>
        </w:numPr>
        <w:rPr>
          <w:rFonts w:ascii="Arial" w:cs="Arial" w:eastAsia="Arial" w:hAnsi="Arial"/>
          <w:sz w:val="20"/>
          <w:szCs w:val="20"/>
          <w:color w:val="3C3C3B"/>
          <w:vertAlign w:val="superscript"/>
        </w:rPr>
      </w:pPr>
      <w:r>
        <w:rPr>
          <w:rFonts w:ascii="Arial" w:cs="Arial" w:eastAsia="Arial" w:hAnsi="Arial"/>
          <w:sz w:val="14"/>
          <w:szCs w:val="14"/>
          <w:i w:val="1"/>
          <w:iCs w:val="1"/>
          <w:color w:val="3C3C3B"/>
        </w:rPr>
        <w:t>Iqirvo</w:t>
      </w:r>
      <w:r>
        <w:rPr>
          <w:rFonts w:ascii="Arial" w:cs="Arial" w:eastAsia="Arial" w:hAnsi="Arial"/>
          <w:sz w:val="9"/>
          <w:szCs w:val="9"/>
          <w:i w:val="1"/>
          <w:iCs w:val="1"/>
          <w:color w:val="3C3C3B"/>
        </w:rPr>
        <w:t>®</w:t>
      </w:r>
      <w:r>
        <w:rPr>
          <w:rFonts w:ascii="Arial" w:cs="Arial" w:eastAsia="Arial" w:hAnsi="Arial"/>
          <w:sz w:val="14"/>
          <w:szCs w:val="14"/>
          <w:i w:val="1"/>
          <w:iCs w:val="1"/>
          <w:color w:val="3C3C3B"/>
        </w:rPr>
        <w:t xml:space="preserve"> (elafibranor) has already been granted pricing and reimbursement in the UK and in Germany in 2024.</w:t>
      </w:r>
    </w:p>
    <w:p>
      <w:pPr>
        <w:spacing w:after="0" w:line="128" w:lineRule="exact"/>
        <w:rPr>
          <w:sz w:val="20"/>
          <w:szCs w:val="20"/>
          <w:color w:val="auto"/>
        </w:rPr>
      </w:pPr>
    </w:p>
    <w:p>
      <w:pPr>
        <w:ind w:left="100" w:hanging="94"/>
        <w:spacing w:after="0"/>
        <w:tabs>
          <w:tab w:leader="none" w:pos="100" w:val="left"/>
        </w:tabs>
        <w:numPr>
          <w:ilvl w:val="0"/>
          <w:numId w:val="11"/>
        </w:numPr>
        <w:rPr>
          <w:rFonts w:ascii="Arial" w:cs="Arial" w:eastAsia="Arial" w:hAnsi="Arial"/>
          <w:sz w:val="20"/>
          <w:szCs w:val="20"/>
          <w:color w:val="3C3C3B"/>
          <w:vertAlign w:val="superscript"/>
        </w:rPr>
      </w:pPr>
      <w:r>
        <w:rPr>
          <w:rFonts w:ascii="Arial" w:cs="Arial" w:eastAsia="Arial" w:hAnsi="Arial"/>
          <w:sz w:val="14"/>
          <w:szCs w:val="14"/>
          <w:i w:val="1"/>
          <w:iCs w:val="1"/>
          <w:color w:val="3C3C3B"/>
        </w:rPr>
        <w:t>https://www.ipsen.com/websites/ipsen_com_v2/wp-content/uploads/2025/07/31081007/H1-2025-results-presentation.pdf</w:t>
      </w:r>
    </w:p>
    <w:p>
      <w:pPr>
        <w:spacing w:after="0" w:line="300" w:lineRule="exact"/>
        <w:rPr>
          <w:sz w:val="20"/>
          <w:szCs w:val="20"/>
          <w:color w:val="auto"/>
        </w:rPr>
      </w:pPr>
    </w:p>
    <w:tbl>
      <w:tblPr>
        <w:tblLayout w:type="fixed"/>
        <w:tblInd w:w="2830" w:type="dxa"/>
        <w:tblCellMar>
          <w:top w:w="0" w:type="dxa"/>
          <w:left w:w="0" w:type="dxa"/>
          <w:bottom w:w="0" w:type="dxa"/>
          <w:right w:w="0" w:type="dxa"/>
        </w:tblCellMar>
      </w:tblPr>
      <w:tr>
        <w:trPr>
          <w:trHeight w:val="146"/>
        </w:trPr>
        <w:tc>
          <w:tcPr>
            <w:tcW w:w="7880" w:type="dxa"/>
            <w:vAlign w:val="bottom"/>
            <w:tcBorders>
              <w:left w:val="single" w:sz="8" w:color="57879D"/>
            </w:tcBorders>
            <w:vMerge w:val="restart"/>
          </w:tcPr>
          <w:p>
            <w:pPr>
              <w:ind w:left="40"/>
              <w:spacing w:after="0"/>
              <w:rPr>
                <w:sz w:val="20"/>
                <w:szCs w:val="20"/>
                <w:color w:val="auto"/>
              </w:rPr>
            </w:pPr>
            <w:r>
              <w:rPr>
                <w:rFonts w:ascii="Arial" w:cs="Arial" w:eastAsia="Arial" w:hAnsi="Arial"/>
                <w:sz w:val="15"/>
                <w:szCs w:val="15"/>
                <w:color w:val="3C3C3B"/>
              </w:rPr>
              <w:t>Half-Year Business and Financial Report at June 30, 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7880" w:type="dxa"/>
            <w:vAlign w:val="bottom"/>
            <w:tcBorders>
              <w:left w:val="single" w:sz="8" w:color="57879D"/>
            </w:tcBorders>
            <w:vMerge w:val="continue"/>
          </w:tcPr>
          <w:p>
            <w:pPr>
              <w:spacing w:after="0"/>
              <w:rPr>
                <w:sz w:val="24"/>
                <w:szCs w:val="24"/>
                <w:color w:val="auto"/>
              </w:rPr>
            </w:pPr>
          </w:p>
        </w:tc>
        <w:tc>
          <w:tcPr>
            <w:tcW w:w="640" w:type="dxa"/>
            <w:vAlign w:val="bottom"/>
            <w:tcBorders>
              <w:bottom w:val="single" w:sz="8" w:color="DBDBDB"/>
            </w:tcBorders>
            <w:shd w:val="clear" w:color="auto" w:fill="DBDBDB"/>
          </w:tcPr>
          <w:p>
            <w:pPr>
              <w:jc w:val="right"/>
              <w:ind w:right="465"/>
              <w:spacing w:after="0"/>
              <w:rPr>
                <w:sz w:val="20"/>
                <w:szCs w:val="20"/>
                <w:color w:val="auto"/>
              </w:rPr>
            </w:pPr>
            <w:r>
              <w:rPr>
                <w:rFonts w:ascii="Arial" w:cs="Arial" w:eastAsia="Arial" w:hAnsi="Arial"/>
                <w:sz w:val="15"/>
                <w:szCs w:val="15"/>
                <w:color w:val="3C3C3B"/>
                <w:w w:val="95"/>
              </w:rPr>
              <w:t>4</w:t>
            </w:r>
          </w:p>
        </w:tc>
        <w:tc>
          <w:tcPr>
            <w:tcW w:w="0" w:type="dxa"/>
            <w:vAlign w:val="bottom"/>
          </w:tcPr>
          <w:p>
            <w:pPr>
              <w:spacing w:after="0"/>
              <w:rPr>
                <w:sz w:val="1"/>
                <w:szCs w:val="1"/>
                <w:color w:val="auto"/>
              </w:rPr>
            </w:pPr>
          </w:p>
        </w:tc>
      </w:tr>
      <w:tr>
        <w:trPr>
          <w:trHeight w:val="146"/>
        </w:trPr>
        <w:tc>
          <w:tcPr>
            <w:tcW w:w="7880" w:type="dxa"/>
            <w:vAlign w:val="bottom"/>
            <w:tcBorders>
              <w:left w:val="single" w:sz="8" w:color="57879D"/>
            </w:tcBorders>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-369570</wp:posOffset>
            </wp:positionV>
            <wp:extent cx="1094105" cy="277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94105" cy="277495"/>
                    </a:xfrm>
                    <a:prstGeom prst="rect">
                      <a:avLst/>
                    </a:prstGeom>
                    <a:noFill/>
                  </pic:spPr>
                </pic:pic>
              </a:graphicData>
            </a:graphic>
          </wp:anchor>
        </w:drawing>
      </w:r>
    </w:p>
    <w:p>
      <w:pPr>
        <w:sectPr>
          <w:pgSz w:w="11900" w:h="16838" w:orient="portrait"/>
          <w:cols w:equalWidth="0" w:num="1">
            <w:col w:w="11340"/>
          </w:cols>
          <w:pgMar w:left="320" w:top="1294" w:right="239" w:bottom="1440" w:gutter="0" w:footer="0" w:header="0"/>
        </w:sectPr>
      </w:pPr>
    </w:p>
    <w:bookmarkStart w:id="10" w:name="page11"/>
    <w:bookmarkEnd w:id="10"/>
    <w:p>
      <w:pPr>
        <w:ind w:left="320"/>
        <w:spacing w:after="0"/>
        <w:rPr>
          <w:sz w:val="20"/>
          <w:szCs w:val="20"/>
          <w:color w:val="auto"/>
        </w:rPr>
      </w:pPr>
      <w:r>
        <w:rPr>
          <w:rFonts w:ascii="Arial" w:cs="Arial" w:eastAsia="Arial" w:hAnsi="Arial"/>
          <w:sz w:val="15"/>
          <w:szCs w:val="15"/>
          <w:color w:val="3C3C3B"/>
        </w:rPr>
        <w:t>In September, 2025, Intercept announced voluntary withdrawal of OCALIVA® (obeticholic acid) for PBC from the US Market</w:t>
      </w:r>
      <w:r>
        <w:rPr>
          <w:rFonts w:ascii="Arial" w:cs="Arial" w:eastAsia="Arial" w:hAnsi="Arial"/>
          <w:sz w:val="9"/>
          <w:szCs w:val="9"/>
          <w:color w:val="3C3C3B"/>
        </w:rPr>
        <w:t>7</w:t>
      </w:r>
      <w:r>
        <w:rPr>
          <w:rFonts w:ascii="Arial" w:cs="Arial" w:eastAsia="Arial" w:hAnsi="Arial"/>
          <w:sz w:val="15"/>
          <w:szCs w:val="15"/>
          <w:color w:val="3C3C3B"/>
        </w:rPr>
        <w:t>.</w:t>
      </w:r>
    </w:p>
    <w:p>
      <w:pPr>
        <w:spacing w:after="0" w:line="241" w:lineRule="exact"/>
        <w:rPr>
          <w:sz w:val="20"/>
          <w:szCs w:val="20"/>
          <w:color w:val="auto"/>
        </w:rPr>
      </w:pPr>
    </w:p>
    <w:p>
      <w:pPr>
        <w:ind w:left="1580" w:right="260"/>
        <w:spacing w:after="0" w:line="313" w:lineRule="auto"/>
        <w:rPr>
          <w:sz w:val="20"/>
          <w:szCs w:val="20"/>
          <w:color w:val="auto"/>
        </w:rPr>
      </w:pPr>
      <w:r>
        <w:rPr>
          <w:rFonts w:ascii="Arial" w:cs="Arial" w:eastAsia="Arial" w:hAnsi="Arial"/>
          <w:sz w:val="21"/>
          <w:szCs w:val="21"/>
          <w:b w:val="1"/>
          <w:bCs w:val="1"/>
          <w:color w:val="005578"/>
        </w:rPr>
        <w:t>PSC: Positive late-breaking Phase 2 data for elafibranor presented by Ipsen at EASL Congress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-229870</wp:posOffset>
            </wp:positionV>
            <wp:extent cx="8242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143" w:lineRule="exact"/>
        <w:rPr>
          <w:sz w:val="20"/>
          <w:szCs w:val="20"/>
          <w:color w:val="auto"/>
        </w:rPr>
      </w:pPr>
    </w:p>
    <w:p>
      <w:pPr>
        <w:ind w:right="120"/>
        <w:spacing w:after="0" w:line="293" w:lineRule="auto"/>
        <w:rPr>
          <w:sz w:val="20"/>
          <w:szCs w:val="20"/>
          <w:color w:val="auto"/>
        </w:rPr>
      </w:pPr>
      <w:r>
        <w:rPr>
          <w:rFonts w:ascii="Arial" w:cs="Arial" w:eastAsia="Arial" w:hAnsi="Arial"/>
          <w:sz w:val="15"/>
          <w:szCs w:val="15"/>
          <w:color w:val="3C3C3B"/>
        </w:rPr>
        <w:t>In May 2025, Ipsen presented data from its late-breaking abstract on elafibranor, highlighting favorable safety profile and significant efficacy in Primary Sclerosing Cholangitis (PSC), at the European Association for the Study of the Liver (EASL).</w:t>
      </w:r>
    </w:p>
    <w:p>
      <w:pPr>
        <w:spacing w:after="0" w:line="122" w:lineRule="exact"/>
        <w:rPr>
          <w:sz w:val="20"/>
          <w:szCs w:val="20"/>
          <w:color w:val="auto"/>
        </w:rPr>
      </w:pPr>
    </w:p>
    <w:p>
      <w:pPr>
        <w:ind w:right="100"/>
        <w:spacing w:after="0" w:line="258" w:lineRule="auto"/>
        <w:rPr>
          <w:sz w:val="20"/>
          <w:szCs w:val="20"/>
          <w:color w:val="auto"/>
        </w:rPr>
      </w:pPr>
      <w:r>
        <w:rPr>
          <w:rFonts w:ascii="Arial" w:cs="Arial" w:eastAsia="Arial" w:hAnsi="Arial"/>
          <w:sz w:val="15"/>
          <w:szCs w:val="15"/>
          <w:color w:val="3C3C3B"/>
        </w:rPr>
        <w:t>Efficacy results of Ipsen’s Phase 2 ELMWOOD trial (LB25222/OS089) showed that patients on elafibranor had significant dose-dependent reductions in alkaline phosphatase (ALP), with patients on elafibranor 80 mg and 120 mg having significant reductions at week 12 versus placebo (−103.2 U/L and −171.1 U/L vs +32.1 U/L; p</w:t>
      </w:r>
    </w:p>
    <w:p>
      <w:pPr>
        <w:spacing w:after="0" w:line="1" w:lineRule="exact"/>
        <w:rPr>
          <w:sz w:val="20"/>
          <w:szCs w:val="20"/>
          <w:color w:val="auto"/>
        </w:rPr>
      </w:pPr>
    </w:p>
    <w:p>
      <w:pPr>
        <w:jc w:val="both"/>
        <w:ind w:right="100" w:firstLine="6"/>
        <w:spacing w:after="0" w:line="262" w:lineRule="auto"/>
        <w:tabs>
          <w:tab w:leader="none" w:pos="138" w:val="left"/>
        </w:tabs>
        <w:numPr>
          <w:ilvl w:val="0"/>
          <w:numId w:val="12"/>
        </w:numPr>
        <w:rPr>
          <w:rFonts w:ascii="Arial" w:cs="Arial" w:eastAsia="Arial" w:hAnsi="Arial"/>
          <w:sz w:val="15"/>
          <w:szCs w:val="15"/>
          <w:color w:val="3C3C3B"/>
        </w:rPr>
      </w:pPr>
      <w:r>
        <w:rPr>
          <w:rFonts w:ascii="Arial" w:cs="Arial" w:eastAsia="Arial" w:hAnsi="Arial"/>
          <w:sz w:val="15"/>
          <w:szCs w:val="15"/>
          <w:color w:val="3C3C3B"/>
        </w:rPr>
        <w:t>0.0001), and improvements observed as early as week 4. Similar findings were seen in other biochemical liver parameters, including alanine aminotransferase (ALT) and gamma-glutamyl transferase (GGT), which are important biochemical markers of disease progression. Patients on elafibranor also had stabilization in Enhanced Liver Fibrosis (ELF), a non-invasive marker of liver fibrosis, versus patients on placebo at week 12. Additionally, patients on elafibranor 120 mg experienced improvements in pruritus compared with patients on placebo according to the Worst Itch Numeric Rating Scale (WI NRS) score (-0.96 vs -0.28; p&lt;0.05).</w:t>
      </w:r>
      <w:r>
        <w:rPr>
          <w:rFonts w:ascii="Arial" w:cs="Arial" w:eastAsia="Arial" w:hAnsi="Arial"/>
          <w:sz w:val="19"/>
          <w:szCs w:val="19"/>
          <w:color w:val="3C3C3B"/>
          <w:vertAlign w:val="superscript"/>
        </w:rPr>
        <w:t>8</w:t>
      </w:r>
    </w:p>
    <w:p>
      <w:pPr>
        <w:spacing w:after="0" w:line="84" w:lineRule="exact"/>
        <w:rPr>
          <w:sz w:val="20"/>
          <w:szCs w:val="20"/>
          <w:color w:val="auto"/>
        </w:rPr>
      </w:pPr>
    </w:p>
    <w:p>
      <w:pPr>
        <w:ind w:right="100" w:firstLine="318"/>
        <w:spacing w:after="0" w:line="274" w:lineRule="auto"/>
        <w:rPr>
          <w:sz w:val="20"/>
          <w:szCs w:val="20"/>
          <w:color w:val="auto"/>
        </w:rPr>
      </w:pPr>
      <w:r>
        <w:rPr>
          <w:rFonts w:ascii="Arial" w:cs="Arial" w:eastAsia="Arial" w:hAnsi="Arial"/>
          <w:sz w:val="15"/>
          <w:szCs w:val="15"/>
          <w:color w:val="3C3C3B"/>
        </w:rPr>
        <w:t>Should elafibranor be approved in a second indication after PBC, GENFIT would also be eligible to milestone payments and royalties under the licensing and collaboration agreement with Ipsen .</w:t>
      </w:r>
    </w:p>
    <w:p>
      <w:pPr>
        <w:spacing w:after="0" w:line="191" w:lineRule="exact"/>
        <w:rPr>
          <w:sz w:val="20"/>
          <w:szCs w:val="20"/>
          <w:color w:val="auto"/>
        </w:rPr>
      </w:pPr>
    </w:p>
    <w:p>
      <w:pPr>
        <w:ind w:left="1580"/>
        <w:spacing w:after="0"/>
        <w:rPr>
          <w:sz w:val="20"/>
          <w:szCs w:val="20"/>
          <w:color w:val="auto"/>
        </w:rPr>
      </w:pPr>
      <w:r>
        <w:rPr>
          <w:rFonts w:ascii="Arial" w:cs="Arial" w:eastAsia="Arial" w:hAnsi="Arial"/>
          <w:sz w:val="21"/>
          <w:szCs w:val="21"/>
          <w:b w:val="1"/>
          <w:bCs w:val="1"/>
          <w:color w:val="005578"/>
        </w:rPr>
        <w:t>ACLF: Discontinuation of VS-01 program, refocused on UCD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8242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3C3C3B"/>
        </w:rPr>
        <w:t xml:space="preserve">On September 19, 2025, GENFIT </w:t>
      </w:r>
      <w:r>
        <w:rPr>
          <w:rFonts w:ascii="Arial" w:cs="Arial" w:eastAsia="Arial" w:hAnsi="Arial"/>
          <w:sz w:val="15"/>
          <w:szCs w:val="15"/>
          <w:color w:val="000000"/>
        </w:rPr>
        <w:t>announced its decision to discontinue its VS-01 program in ACLF (Acute-on-Chronic Liver Failure), and</w:t>
      </w:r>
      <w:r>
        <w:rPr>
          <w:rFonts w:ascii="Arial" w:cs="Arial" w:eastAsia="Arial" w:hAnsi="Arial"/>
          <w:sz w:val="15"/>
          <w:szCs w:val="15"/>
          <w:color w:val="3C3C3B"/>
        </w:rPr>
        <w:t xml:space="preserve"> reprioritize </w:t>
      </w:r>
      <w:r>
        <w:rPr>
          <w:rFonts w:ascii="Arial" w:cs="Arial" w:eastAsia="Arial" w:hAnsi="Arial"/>
          <w:sz w:val="15"/>
          <w:szCs w:val="15"/>
          <w:color w:val="000000"/>
        </w:rPr>
        <w:t>its development on</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UCD (Urea Cycle Disorder):</w:t>
      </w:r>
    </w:p>
    <w:p>
      <w:pPr>
        <w:spacing w:after="0" w:line="291" w:lineRule="exact"/>
        <w:rPr>
          <w:sz w:val="20"/>
          <w:szCs w:val="20"/>
          <w:color w:val="auto"/>
        </w:rPr>
      </w:pPr>
    </w:p>
    <w:p>
      <w:pPr>
        <w:jc w:val="both"/>
        <w:ind w:left="520" w:right="100" w:hanging="260"/>
        <w:spacing w:after="0" w:line="257" w:lineRule="auto"/>
        <w:tabs>
          <w:tab w:leader="none" w:pos="504" w:val="left"/>
        </w:tabs>
        <w:numPr>
          <w:ilvl w:val="0"/>
          <w:numId w:val="13"/>
        </w:numPr>
        <w:rPr>
          <w:rFonts w:ascii="Arial" w:cs="Arial" w:eastAsia="Arial" w:hAnsi="Arial"/>
          <w:sz w:val="15"/>
          <w:szCs w:val="15"/>
          <w:color w:val="3C3C3B"/>
        </w:rPr>
      </w:pPr>
      <w:r>
        <w:rPr>
          <w:rFonts w:ascii="Arial" w:cs="Arial" w:eastAsia="Arial" w:hAnsi="Arial"/>
          <w:sz w:val="15"/>
          <w:szCs w:val="15"/>
          <w:color w:val="3C3C3B"/>
        </w:rPr>
        <w:t>GENFIT’s decision followed the occurrence of a peritonitis case reported as Serious Adverse Event (SAE) in the UNVEIL-IT® clinical trial evaluating VS-01 in patients with ACLF grade 1, 2 or 3a and ascites and subsequent review and feedback from the independent Data Monitoring Committee (iDMC). The committee concluded that the trial could continue but required additional data and monitoring. Despite the possibility to move ahead with the study, GENFIT decided – after considering the target population’s clinical profile as well as the implications of this type of safety signals for the benefit/risk ratio of VS-01 in this indication – to discontinue both UNVEIL-IT® and the proof-of-concept study evaluating VS-01 in patients with Hepatic Encephalopathy (HE) grades 2 to 4 in the presence of Acute Decompensation (AD) or ACLF grade 1 and ascites.</w:t>
      </w:r>
    </w:p>
    <w:p>
      <w:pPr>
        <w:spacing w:after="0" w:line="44" w:lineRule="exact"/>
        <w:rPr>
          <w:rFonts w:ascii="Arial" w:cs="Arial" w:eastAsia="Arial" w:hAnsi="Arial"/>
          <w:sz w:val="15"/>
          <w:szCs w:val="15"/>
          <w:color w:val="3C3C3B"/>
        </w:rPr>
      </w:pPr>
    </w:p>
    <w:p>
      <w:pPr>
        <w:jc w:val="both"/>
        <w:ind w:left="520" w:right="100" w:hanging="260"/>
        <w:spacing w:after="0" w:line="266" w:lineRule="auto"/>
        <w:tabs>
          <w:tab w:leader="none" w:pos="504" w:val="left"/>
        </w:tabs>
        <w:numPr>
          <w:ilvl w:val="0"/>
          <w:numId w:val="13"/>
        </w:numPr>
        <w:rPr>
          <w:rFonts w:ascii="Arial" w:cs="Arial" w:eastAsia="Arial" w:hAnsi="Arial"/>
          <w:sz w:val="15"/>
          <w:szCs w:val="15"/>
          <w:color w:val="3C3C3B"/>
        </w:rPr>
      </w:pPr>
      <w:r>
        <w:rPr>
          <w:rFonts w:ascii="Arial" w:cs="Arial" w:eastAsia="Arial" w:hAnsi="Arial"/>
          <w:sz w:val="15"/>
          <w:szCs w:val="15"/>
          <w:color w:val="3C3C3B"/>
        </w:rPr>
        <w:t>GENFIT will continue the preclinical evaluation of VS-01 in UCD, a genetically driven disorder characterized by Acute Hyperammonemic Crisis (HAC). The condition, patients and drug administration set-up will be very different from what they were in ACLF. There is a significant unmet medical need in this indication, and based on ammonia clearance data, we believe VS-01 has the potential to be a useful therapeutic option for children affected by this disease.</w:t>
      </w:r>
    </w:p>
    <w:p>
      <w:pPr>
        <w:spacing w:after="0" w:line="49" w:lineRule="exact"/>
        <w:rPr>
          <w:rFonts w:ascii="Arial" w:cs="Arial" w:eastAsia="Arial" w:hAnsi="Arial"/>
          <w:sz w:val="15"/>
          <w:szCs w:val="15"/>
          <w:color w:val="3C3C3B"/>
        </w:rPr>
      </w:pPr>
    </w:p>
    <w:p>
      <w:pPr>
        <w:jc w:val="both"/>
        <w:ind w:left="520" w:right="100" w:hanging="260"/>
        <w:spacing w:after="0" w:line="254" w:lineRule="auto"/>
        <w:tabs>
          <w:tab w:leader="none" w:pos="504" w:val="left"/>
        </w:tabs>
        <w:numPr>
          <w:ilvl w:val="0"/>
          <w:numId w:val="13"/>
        </w:numPr>
        <w:rPr>
          <w:rFonts w:ascii="Arial" w:cs="Arial" w:eastAsia="Arial" w:hAnsi="Arial"/>
          <w:sz w:val="15"/>
          <w:szCs w:val="15"/>
          <w:color w:val="3C3C3B"/>
        </w:rPr>
      </w:pPr>
      <w:r>
        <w:rPr>
          <w:rFonts w:ascii="Arial" w:cs="Arial" w:eastAsia="Arial" w:hAnsi="Arial"/>
          <w:sz w:val="15"/>
          <w:szCs w:val="15"/>
          <w:color w:val="3C3C3B"/>
        </w:rPr>
        <w:t>GENFIT remains fully committed to ACLF and associated conditions such as Acute Decompensation (AD) or Hepatic Encephalopathy (HE). ACLF is characterized by a critical unmet medical need, with no approved treatment options for patients facing poor prognosis and life-threatening risks. Since we embarked in this therapeutic area, we have engaged in multiple KOL interactions and observed growing interest in this indication, together with clear support for our clinical strategy. This feedback reinforces our confidence in our plan and validates our positioning. In this context, we ambition to accelerate the development of the four other assets currently under development in ACLF, which are all based on different mechanisms of action and use different routes of administration. We hope to deliver positive results, as we move forward, starting with safety data and markers of efficacy on healthy volunteers with G1090N, expected at the end of this year. Other programs in the ACLF pipeline are SRT-015, CLM-022 and VS-02-HE.</w:t>
      </w:r>
    </w:p>
    <w:p>
      <w:pPr>
        <w:spacing w:after="0" w:line="153" w:lineRule="exact"/>
        <w:rPr>
          <w:sz w:val="20"/>
          <w:szCs w:val="20"/>
          <w:color w:val="auto"/>
        </w:rPr>
      </w:pPr>
    </w:p>
    <w:p>
      <w:pPr>
        <w:ind w:right="100" w:firstLine="318"/>
        <w:spacing w:after="0" w:line="304" w:lineRule="auto"/>
        <w:rPr>
          <w:sz w:val="20"/>
          <w:szCs w:val="20"/>
          <w:color w:val="auto"/>
        </w:rPr>
      </w:pPr>
      <w:r>
        <w:rPr>
          <w:rFonts w:ascii="Arial" w:cs="Arial" w:eastAsia="Arial" w:hAnsi="Arial"/>
          <w:sz w:val="15"/>
          <w:szCs w:val="15"/>
          <w:b w:val="1"/>
          <w:bCs w:val="1"/>
          <w:color w:val="3C3C3B"/>
        </w:rPr>
        <w:t>Earlier in May 2025, GENFIT participated at the European Association for the Study of the Liver (EASL) International Congress 2025 with several posters presenting its latest progress in ACLF. The congress highlighted the growing importance of ACLF within the hepatology community.</w:t>
      </w:r>
    </w:p>
    <w:p>
      <w:pPr>
        <w:spacing w:after="0" w:line="106" w:lineRule="exact"/>
        <w:rPr>
          <w:sz w:val="20"/>
          <w:szCs w:val="20"/>
          <w:color w:val="auto"/>
        </w:rPr>
      </w:pPr>
    </w:p>
    <w:p>
      <w:pPr>
        <w:ind w:left="1300" w:hanging="340"/>
        <w:spacing w:after="0"/>
        <w:tabs>
          <w:tab w:leader="none" w:pos="1300" w:val="left"/>
        </w:tabs>
        <w:numPr>
          <w:ilvl w:val="0"/>
          <w:numId w:val="14"/>
        </w:numPr>
        <w:rPr>
          <w:rFonts w:ascii="Arial" w:cs="Arial" w:eastAsia="Arial" w:hAnsi="Arial"/>
          <w:sz w:val="15"/>
          <w:szCs w:val="15"/>
          <w:b w:val="1"/>
          <w:bCs w:val="1"/>
          <w:color w:val="3C3C3B"/>
        </w:rPr>
      </w:pPr>
      <w:r>
        <w:rPr>
          <w:rFonts w:ascii="Arial" w:cs="Arial" w:eastAsia="Arial" w:hAnsi="Arial"/>
          <w:sz w:val="15"/>
          <w:szCs w:val="15"/>
          <w:b w:val="1"/>
          <w:bCs w:val="1"/>
          <w:color w:val="3C3C3B"/>
        </w:rPr>
        <w:t>Posters presented by GENFIT at EASL Congress</w:t>
      </w:r>
    </w:p>
    <w:p>
      <w:pPr>
        <w:spacing w:after="0" w:line="185" w:lineRule="exact"/>
        <w:rPr>
          <w:sz w:val="20"/>
          <w:szCs w:val="20"/>
          <w:color w:val="auto"/>
        </w:rPr>
      </w:pPr>
    </w:p>
    <w:p>
      <w:pPr>
        <w:ind w:right="100" w:firstLine="318"/>
        <w:spacing w:after="0" w:line="274" w:lineRule="auto"/>
        <w:rPr>
          <w:sz w:val="20"/>
          <w:szCs w:val="20"/>
          <w:color w:val="auto"/>
        </w:rPr>
      </w:pPr>
      <w:r>
        <w:rPr>
          <w:rFonts w:ascii="Arial" w:cs="Arial" w:eastAsia="Arial" w:hAnsi="Arial"/>
          <w:sz w:val="15"/>
          <w:szCs w:val="15"/>
          <w:color w:val="3C3C3B"/>
        </w:rPr>
        <w:t>Six posters have been presented at EASL Congress mainly covering several of GENFIT’s assets positioned in ACLF and GENFIT’s latest work on Real-World data in ACLF.</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3C3C3B"/>
        </w:rPr>
        <w:t>Among posters related to our programs:</w:t>
      </w:r>
    </w:p>
    <w:p>
      <w:pPr>
        <w:spacing w:after="0" w:line="79" w:lineRule="exact"/>
        <w:rPr>
          <w:sz w:val="20"/>
          <w:szCs w:val="20"/>
          <w:color w:val="auto"/>
        </w:rPr>
      </w:pPr>
    </w:p>
    <w:p>
      <w:pPr>
        <w:ind w:left="500" w:hanging="240"/>
        <w:spacing w:after="0"/>
        <w:tabs>
          <w:tab w:leader="none" w:pos="500" w:val="left"/>
        </w:tabs>
        <w:numPr>
          <w:ilvl w:val="0"/>
          <w:numId w:val="15"/>
        </w:numPr>
        <w:rPr>
          <w:rFonts w:ascii="Arial" w:cs="Arial" w:eastAsia="Arial" w:hAnsi="Arial"/>
          <w:sz w:val="15"/>
          <w:szCs w:val="15"/>
          <w:color w:val="3C3C3B"/>
        </w:rPr>
      </w:pPr>
      <w:r>
        <w:rPr>
          <w:rFonts w:ascii="Arial" w:cs="Arial" w:eastAsia="Arial" w:hAnsi="Arial"/>
          <w:sz w:val="15"/>
          <w:szCs w:val="15"/>
          <w:color w:val="3C3C3B"/>
        </w:rPr>
        <w:t>Poster #1: NTZ alleviates stress-induced hepatocyte cell death through modulation of oxidative stress and DNA damage signaling pathways in ACLF models</w:t>
      </w:r>
    </w:p>
    <w:p>
      <w:pPr>
        <w:spacing w:after="0" w:line="92" w:lineRule="exact"/>
        <w:rPr>
          <w:rFonts w:ascii="Arial" w:cs="Arial" w:eastAsia="Arial" w:hAnsi="Arial"/>
          <w:sz w:val="15"/>
          <w:szCs w:val="15"/>
          <w:color w:val="3C3C3B"/>
        </w:rPr>
      </w:pPr>
    </w:p>
    <w:p>
      <w:pPr>
        <w:ind w:left="520" w:right="100" w:hanging="260"/>
        <w:spacing w:after="0" w:line="274" w:lineRule="auto"/>
        <w:tabs>
          <w:tab w:leader="none" w:pos="504" w:val="left"/>
        </w:tabs>
        <w:numPr>
          <w:ilvl w:val="0"/>
          <w:numId w:val="15"/>
        </w:numPr>
        <w:rPr>
          <w:rFonts w:ascii="Arial" w:cs="Arial" w:eastAsia="Arial" w:hAnsi="Arial"/>
          <w:sz w:val="15"/>
          <w:szCs w:val="15"/>
          <w:color w:val="3C3C3B"/>
        </w:rPr>
      </w:pPr>
      <w:r>
        <w:rPr>
          <w:rFonts w:ascii="Arial" w:cs="Arial" w:eastAsia="Arial" w:hAnsi="Arial"/>
          <w:sz w:val="15"/>
          <w:szCs w:val="15"/>
          <w:color w:val="3C3C3B"/>
        </w:rPr>
        <w:t>Poster #2: Efficacy of the apoptosis-signal-regulating kinase 1 (ASK1) inhibitor SRT-015 in vivo and in vitro pathogen-associated molecular patterns (PAMPs)-induced disease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97790</wp:posOffset>
            </wp:positionV>
            <wp:extent cx="22212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21230" cy="8255"/>
                    </a:xfrm>
                    <a:prstGeom prst="rect">
                      <a:avLst/>
                    </a:prstGeom>
                    <a:noFill/>
                  </pic:spPr>
                </pic:pic>
              </a:graphicData>
            </a:graphic>
          </wp:anchor>
        </w:drawing>
      </w:r>
    </w:p>
    <w:p>
      <w:pPr>
        <w:spacing w:after="0" w:line="186" w:lineRule="exact"/>
        <w:rPr>
          <w:sz w:val="20"/>
          <w:szCs w:val="20"/>
          <w:color w:val="auto"/>
        </w:rPr>
      </w:pPr>
    </w:p>
    <w:p>
      <w:pPr>
        <w:ind w:left="100" w:hanging="94"/>
        <w:spacing w:after="0"/>
        <w:tabs>
          <w:tab w:leader="none" w:pos="100" w:val="left"/>
        </w:tabs>
        <w:numPr>
          <w:ilvl w:val="0"/>
          <w:numId w:val="16"/>
        </w:numPr>
        <w:rPr>
          <w:rFonts w:ascii="Arial" w:cs="Arial" w:eastAsia="Arial" w:hAnsi="Arial"/>
          <w:sz w:val="20"/>
          <w:szCs w:val="20"/>
          <w:color w:val="3C3C3B"/>
          <w:vertAlign w:val="superscript"/>
        </w:rPr>
      </w:pPr>
      <w:r>
        <w:rPr>
          <w:rFonts w:ascii="Arial" w:cs="Arial" w:eastAsia="Arial" w:hAnsi="Arial"/>
          <w:sz w:val="14"/>
          <w:szCs w:val="14"/>
          <w:i w:val="1"/>
          <w:iCs w:val="1"/>
          <w:color w:val="3C3C3B"/>
        </w:rPr>
        <w:t>https://www.interceptpharma.com/about-us/news/?id=3148535</w:t>
      </w:r>
    </w:p>
    <w:p>
      <w:pPr>
        <w:spacing w:after="0" w:line="174" w:lineRule="exact"/>
        <w:rPr>
          <w:sz w:val="20"/>
          <w:szCs w:val="20"/>
          <w:color w:val="auto"/>
        </w:rPr>
      </w:pPr>
    </w:p>
    <w:p>
      <w:pPr>
        <w:ind w:right="100" w:firstLine="6"/>
        <w:spacing w:after="0" w:line="226" w:lineRule="auto"/>
        <w:tabs>
          <w:tab w:leader="none" w:pos="109" w:val="left"/>
        </w:tabs>
        <w:numPr>
          <w:ilvl w:val="0"/>
          <w:numId w:val="17"/>
        </w:numPr>
        <w:rPr>
          <w:rFonts w:ascii="Arial" w:cs="Arial" w:eastAsia="Arial" w:hAnsi="Arial"/>
          <w:sz w:val="20"/>
          <w:szCs w:val="20"/>
          <w:color w:val="3C3C3B"/>
          <w:vertAlign w:val="superscript"/>
        </w:rPr>
      </w:pPr>
      <w:r>
        <w:rPr>
          <w:rFonts w:ascii="Arial" w:cs="Arial" w:eastAsia="Arial" w:hAnsi="Arial"/>
          <w:sz w:val="14"/>
          <w:szCs w:val="14"/>
          <w:i w:val="1"/>
          <w:iCs w:val="1"/>
          <w:color w:val="3C3C3B"/>
        </w:rPr>
        <w:t>Levy. C. et al. Elafibranor for Primary Sclerosing Cholangitis: The ELMWOOD phase II randomized controlled trial. European Association for the Study of the Liver (EASL) Congress, 2025. Abstract LB25222</w:t>
      </w:r>
    </w:p>
    <w:p>
      <w:pPr>
        <w:spacing w:after="0" w:line="288" w:lineRule="exact"/>
        <w:rPr>
          <w:sz w:val="20"/>
          <w:szCs w:val="20"/>
          <w:color w:val="auto"/>
        </w:rPr>
      </w:pPr>
    </w:p>
    <w:tbl>
      <w:tblPr>
        <w:tblLayout w:type="fixed"/>
        <w:tblInd w:w="2830" w:type="dxa"/>
        <w:tblCellMar>
          <w:top w:w="0" w:type="dxa"/>
          <w:left w:w="0" w:type="dxa"/>
          <w:bottom w:w="0" w:type="dxa"/>
          <w:right w:w="0" w:type="dxa"/>
        </w:tblCellMar>
      </w:tblPr>
      <w:tr>
        <w:trPr>
          <w:trHeight w:val="146"/>
        </w:trPr>
        <w:tc>
          <w:tcPr>
            <w:tcW w:w="7880" w:type="dxa"/>
            <w:vAlign w:val="bottom"/>
            <w:tcBorders>
              <w:left w:val="single" w:sz="8" w:color="57879D"/>
            </w:tcBorders>
            <w:vMerge w:val="restart"/>
          </w:tcPr>
          <w:p>
            <w:pPr>
              <w:ind w:left="40"/>
              <w:spacing w:after="0"/>
              <w:rPr>
                <w:sz w:val="20"/>
                <w:szCs w:val="20"/>
                <w:color w:val="auto"/>
              </w:rPr>
            </w:pPr>
            <w:r>
              <w:rPr>
                <w:rFonts w:ascii="Arial" w:cs="Arial" w:eastAsia="Arial" w:hAnsi="Arial"/>
                <w:sz w:val="15"/>
                <w:szCs w:val="15"/>
                <w:color w:val="3C3C3B"/>
              </w:rPr>
              <w:t>Half-Year Business and Financial Report at June 30, 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7880" w:type="dxa"/>
            <w:vAlign w:val="bottom"/>
            <w:tcBorders>
              <w:left w:val="single" w:sz="8" w:color="57879D"/>
            </w:tcBorders>
            <w:vMerge w:val="continue"/>
          </w:tcPr>
          <w:p>
            <w:pPr>
              <w:spacing w:after="0"/>
              <w:rPr>
                <w:sz w:val="22"/>
                <w:szCs w:val="22"/>
                <w:color w:val="auto"/>
              </w:rPr>
            </w:pPr>
          </w:p>
        </w:tc>
        <w:tc>
          <w:tcPr>
            <w:tcW w:w="640" w:type="dxa"/>
            <w:vAlign w:val="bottom"/>
            <w:shd w:val="clear" w:color="auto" w:fill="DBDBDB"/>
          </w:tcPr>
          <w:p>
            <w:pPr>
              <w:jc w:val="right"/>
              <w:ind w:right="465"/>
              <w:spacing w:after="0"/>
              <w:rPr>
                <w:sz w:val="20"/>
                <w:szCs w:val="20"/>
                <w:color w:val="auto"/>
              </w:rPr>
            </w:pPr>
            <w:r>
              <w:rPr>
                <w:rFonts w:ascii="Arial" w:cs="Arial" w:eastAsia="Arial" w:hAnsi="Arial"/>
                <w:sz w:val="15"/>
                <w:szCs w:val="15"/>
                <w:color w:val="3C3C3B"/>
                <w:w w:val="95"/>
              </w:rPr>
              <w:t>5</w:t>
            </w:r>
          </w:p>
        </w:tc>
        <w:tc>
          <w:tcPr>
            <w:tcW w:w="0" w:type="dxa"/>
            <w:vAlign w:val="bottom"/>
          </w:tcPr>
          <w:p>
            <w:pPr>
              <w:spacing w:after="0"/>
              <w:rPr>
                <w:sz w:val="1"/>
                <w:szCs w:val="1"/>
                <w:color w:val="auto"/>
              </w:rPr>
            </w:pPr>
          </w:p>
        </w:tc>
      </w:tr>
      <w:tr>
        <w:trPr>
          <w:trHeight w:val="71"/>
        </w:trPr>
        <w:tc>
          <w:tcPr>
            <w:tcW w:w="7880" w:type="dxa"/>
            <w:vAlign w:val="bottom"/>
            <w:tcBorders>
              <w:left w:val="single" w:sz="8" w:color="57879D"/>
            </w:tcBorders>
          </w:tcPr>
          <w:p>
            <w:pPr>
              <w:spacing w:after="0"/>
              <w:rPr>
                <w:sz w:val="6"/>
                <w:szCs w:val="6"/>
                <w:color w:val="auto"/>
              </w:rPr>
            </w:pPr>
          </w:p>
        </w:tc>
        <w:tc>
          <w:tcPr>
            <w:tcW w:w="6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7880" w:type="dxa"/>
            <w:vAlign w:val="bottom"/>
            <w:tcBorders>
              <w:left w:val="single" w:sz="8" w:color="57879D"/>
            </w:tcBorders>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-369570</wp:posOffset>
            </wp:positionV>
            <wp:extent cx="1094105" cy="277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94105" cy="277495"/>
                    </a:xfrm>
                    <a:prstGeom prst="rect">
                      <a:avLst/>
                    </a:prstGeom>
                    <a:noFill/>
                  </pic:spPr>
                </pic:pic>
              </a:graphicData>
            </a:graphic>
          </wp:anchor>
        </w:drawing>
      </w:r>
    </w:p>
    <w:p>
      <w:pPr>
        <w:sectPr>
          <w:pgSz w:w="11900" w:h="16838" w:orient="portrait"/>
          <w:cols w:equalWidth="0" w:num="1">
            <w:col w:w="11340"/>
          </w:cols>
          <w:pgMar w:left="320" w:top="1315" w:right="239" w:bottom="1440" w:gutter="0" w:footer="0" w:header="0"/>
        </w:sectPr>
      </w:pPr>
    </w:p>
    <w:bookmarkStart w:id="11" w:name="page12"/>
    <w:bookmarkEnd w:id="11"/>
    <w:p>
      <w:pPr>
        <w:ind w:left="520" w:right="100" w:hanging="260"/>
        <w:spacing w:after="0" w:line="293" w:lineRule="auto"/>
        <w:tabs>
          <w:tab w:leader="none" w:pos="504" w:val="left"/>
        </w:tabs>
        <w:numPr>
          <w:ilvl w:val="0"/>
          <w:numId w:val="18"/>
        </w:numPr>
        <w:rPr>
          <w:rFonts w:ascii="Arial" w:cs="Arial" w:eastAsia="Arial" w:hAnsi="Arial"/>
          <w:sz w:val="15"/>
          <w:szCs w:val="15"/>
          <w:color w:val="3C3C3B"/>
        </w:rPr>
      </w:pPr>
      <w:r>
        <w:rPr>
          <w:rFonts w:ascii="Arial" w:cs="Arial" w:eastAsia="Arial" w:hAnsi="Arial"/>
          <w:sz w:val="15"/>
          <w:szCs w:val="15"/>
          <w:color w:val="3C3C3B"/>
        </w:rPr>
        <w:t>Poster #3: CLM-022, a dual inhibitor of priming and activation steps of NLRP3 inflammasome, as a potential treatment for acute and chronic inflammatory late-stage liver diseases</w:t>
      </w:r>
    </w:p>
    <w:p>
      <w:pPr>
        <w:spacing w:after="0" w:line="16" w:lineRule="exact"/>
        <w:rPr>
          <w:rFonts w:ascii="Arial" w:cs="Arial" w:eastAsia="Arial" w:hAnsi="Arial"/>
          <w:sz w:val="15"/>
          <w:szCs w:val="15"/>
          <w:color w:val="3C3C3B"/>
        </w:rPr>
      </w:pPr>
    </w:p>
    <w:p>
      <w:pPr>
        <w:ind w:left="500" w:hanging="240"/>
        <w:spacing w:after="0"/>
        <w:tabs>
          <w:tab w:leader="none" w:pos="500" w:val="left"/>
        </w:tabs>
        <w:numPr>
          <w:ilvl w:val="0"/>
          <w:numId w:val="18"/>
        </w:numPr>
        <w:rPr>
          <w:rFonts w:ascii="Arial" w:cs="Arial" w:eastAsia="Arial" w:hAnsi="Arial"/>
          <w:sz w:val="15"/>
          <w:szCs w:val="15"/>
          <w:color w:val="3C3C3B"/>
        </w:rPr>
      </w:pPr>
      <w:r>
        <w:rPr>
          <w:rFonts w:ascii="Arial" w:cs="Arial" w:eastAsia="Arial" w:hAnsi="Arial"/>
          <w:sz w:val="15"/>
          <w:szCs w:val="15"/>
          <w:color w:val="3C3C3B"/>
        </w:rPr>
        <w:t>Poster #4: Intraperitoneal administration of investigational drug VS-01 captures accumulated metabolites in patients with acutely decompensated liver cirrhosis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3C3C3B"/>
        </w:rPr>
        <w:t>The fifth poster was related to GENFIT's latest work on Real-World data in ACLF:</w:t>
      </w:r>
    </w:p>
    <w:p>
      <w:pPr>
        <w:spacing w:after="0" w:line="79" w:lineRule="exact"/>
        <w:rPr>
          <w:sz w:val="20"/>
          <w:szCs w:val="20"/>
          <w:color w:val="auto"/>
        </w:rPr>
      </w:pPr>
    </w:p>
    <w:p>
      <w:pPr>
        <w:ind w:left="520" w:right="100" w:hanging="260"/>
        <w:spacing w:after="0" w:line="293" w:lineRule="auto"/>
        <w:tabs>
          <w:tab w:leader="none" w:pos="504" w:val="left"/>
        </w:tabs>
        <w:numPr>
          <w:ilvl w:val="0"/>
          <w:numId w:val="19"/>
        </w:numPr>
        <w:rPr>
          <w:rFonts w:ascii="Arial" w:cs="Arial" w:eastAsia="Arial" w:hAnsi="Arial"/>
          <w:sz w:val="15"/>
          <w:szCs w:val="15"/>
          <w:color w:val="3C3C3B"/>
        </w:rPr>
      </w:pPr>
      <w:r>
        <w:rPr>
          <w:rFonts w:ascii="Arial" w:cs="Arial" w:eastAsia="Arial" w:hAnsi="Arial"/>
          <w:sz w:val="15"/>
          <w:szCs w:val="15"/>
          <w:color w:val="3C3C3B"/>
        </w:rPr>
        <w:t>Poster #5: A Machine-Learning algorithm using Real-World Data identified subpopulations at risk for adverse outcomes in patients with Acute-on-Chronic Liver Failure</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3C3C3B"/>
        </w:rPr>
        <w:t>The sixth poster was related to GENFIT's diagnostic tool NIS2+® in MASH:</w:t>
      </w:r>
    </w:p>
    <w:p>
      <w:pPr>
        <w:spacing w:after="0" w:line="79" w:lineRule="exact"/>
        <w:rPr>
          <w:sz w:val="20"/>
          <w:szCs w:val="20"/>
          <w:color w:val="auto"/>
        </w:rPr>
      </w:pPr>
    </w:p>
    <w:p>
      <w:pPr>
        <w:ind w:left="500" w:hanging="240"/>
        <w:spacing w:after="0"/>
        <w:tabs>
          <w:tab w:leader="none" w:pos="500" w:val="left"/>
        </w:tabs>
        <w:numPr>
          <w:ilvl w:val="0"/>
          <w:numId w:val="20"/>
        </w:numPr>
        <w:rPr>
          <w:rFonts w:ascii="Arial" w:cs="Arial" w:eastAsia="Arial" w:hAnsi="Arial"/>
          <w:sz w:val="15"/>
          <w:szCs w:val="15"/>
          <w:color w:val="3C3C3B"/>
        </w:rPr>
      </w:pPr>
      <w:r>
        <w:rPr>
          <w:rFonts w:ascii="Arial" w:cs="Arial" w:eastAsia="Arial" w:hAnsi="Arial"/>
          <w:sz w:val="15"/>
          <w:szCs w:val="15"/>
          <w:color w:val="3C3C3B"/>
        </w:rPr>
        <w:t>Poster #6: Development and validation of two NIS2+®-based models for the detection of MASH resolution and fibrosis improvement</w:t>
      </w:r>
    </w:p>
    <w:p>
      <w:pPr>
        <w:spacing w:after="0" w:line="185" w:lineRule="exact"/>
        <w:rPr>
          <w:rFonts w:ascii="Arial" w:cs="Arial" w:eastAsia="Arial" w:hAnsi="Arial"/>
          <w:sz w:val="15"/>
          <w:szCs w:val="15"/>
          <w:color w:val="3C3C3B"/>
        </w:rPr>
      </w:pPr>
    </w:p>
    <w:p>
      <w:pPr>
        <w:ind w:left="1280" w:hanging="320"/>
        <w:spacing w:after="0"/>
        <w:tabs>
          <w:tab w:leader="none" w:pos="1280" w:val="left"/>
        </w:tabs>
        <w:numPr>
          <w:ilvl w:val="1"/>
          <w:numId w:val="20"/>
        </w:numPr>
        <w:rPr>
          <w:rFonts w:ascii="Arial" w:cs="Arial" w:eastAsia="Arial" w:hAnsi="Arial"/>
          <w:sz w:val="15"/>
          <w:szCs w:val="15"/>
          <w:b w:val="1"/>
          <w:bCs w:val="1"/>
          <w:color w:val="3C3C3B"/>
        </w:rPr>
      </w:pPr>
      <w:r>
        <w:rPr>
          <w:rFonts w:ascii="Arial" w:cs="Arial" w:eastAsia="Arial" w:hAnsi="Arial"/>
          <w:sz w:val="15"/>
          <w:szCs w:val="15"/>
          <w:b w:val="1"/>
          <w:bCs w:val="1"/>
          <w:color w:val="3C3C3B"/>
        </w:rPr>
        <w:t>Events reflecting the growing importance of ACLF during the EASL Congress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3C3C3B"/>
        </w:rPr>
        <w:t>EASL Studio</w:t>
      </w:r>
      <w:r>
        <w:rPr>
          <w:rFonts w:ascii="Arial" w:cs="Arial" w:eastAsia="Arial" w:hAnsi="Arial"/>
          <w:sz w:val="19"/>
          <w:szCs w:val="19"/>
          <w:b w:val="1"/>
          <w:bCs w:val="1"/>
          <w:i w:val="1"/>
          <w:iCs w:val="1"/>
          <w:color w:val="3C3C3B"/>
          <w:vertAlign w:val="superscript"/>
        </w:rPr>
        <w:t>9</w:t>
      </w:r>
    </w:p>
    <w:p>
      <w:pPr>
        <w:spacing w:after="0" w:line="139" w:lineRule="exact"/>
        <w:rPr>
          <w:sz w:val="20"/>
          <w:szCs w:val="20"/>
          <w:color w:val="auto"/>
        </w:rPr>
      </w:pPr>
    </w:p>
    <w:p>
      <w:pPr>
        <w:jc w:val="both"/>
        <w:ind w:right="100" w:firstLine="318"/>
        <w:spacing w:after="0" w:line="266" w:lineRule="auto"/>
        <w:rPr>
          <w:sz w:val="20"/>
          <w:szCs w:val="20"/>
          <w:color w:val="auto"/>
        </w:rPr>
      </w:pPr>
      <w:r>
        <w:rPr>
          <w:rFonts w:ascii="Arial" w:cs="Arial" w:eastAsia="Arial" w:hAnsi="Arial"/>
          <w:sz w:val="15"/>
          <w:szCs w:val="15"/>
          <w:color w:val="3C3C3B"/>
        </w:rPr>
        <w:t>GENFIT joined an EASL Studio session moderated by Professor Debbie Shawcross, EASL General Secretary. She was joined by EASL Studio Editorial Board Panel Representative, Thomas Reiberger, Professor of Hepatology at the Medical University of Vienna, to discuss the topic: “Moving towards recompensation: Putting out the fire that fuels decompensation and ACLF.” Industry representatives were GENFIT and Boehringer Ingelheim.</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3C3C3B"/>
        </w:rPr>
        <w:t>EF CLIF &amp; GENFIT: “Continuing Our Mission to Address ACLF”</w:t>
      </w:r>
    </w:p>
    <w:p>
      <w:pPr>
        <w:spacing w:after="0" w:line="185"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5"/>
          <w:szCs w:val="15"/>
          <w:color w:val="3C3C3B"/>
        </w:rPr>
        <w:t>In accordance with the partnership established in 2024, GENFIT and the European Foundation for the Study of Chronic Liver Failure (EF CLIF) co-hosted a session, to explore the latest scientific insights and collaborative efforts in the presence of:</w:t>
      </w:r>
    </w:p>
    <w:p>
      <w:pPr>
        <w:spacing w:after="0" w:line="43" w:lineRule="exact"/>
        <w:rPr>
          <w:sz w:val="20"/>
          <w:szCs w:val="20"/>
          <w:color w:val="auto"/>
        </w:rPr>
      </w:pPr>
    </w:p>
    <w:p>
      <w:pPr>
        <w:ind w:left="520" w:right="100" w:hanging="260"/>
        <w:spacing w:after="0" w:line="274" w:lineRule="auto"/>
        <w:tabs>
          <w:tab w:leader="none" w:pos="504" w:val="left"/>
        </w:tabs>
        <w:numPr>
          <w:ilvl w:val="0"/>
          <w:numId w:val="21"/>
        </w:numPr>
        <w:rPr>
          <w:rFonts w:ascii="Arial" w:cs="Arial" w:eastAsia="Arial" w:hAnsi="Arial"/>
          <w:sz w:val="15"/>
          <w:szCs w:val="15"/>
          <w:color w:val="3C3C3B"/>
        </w:rPr>
      </w:pPr>
      <w:r>
        <w:rPr>
          <w:rFonts w:ascii="Arial" w:cs="Arial" w:eastAsia="Arial" w:hAnsi="Arial"/>
          <w:sz w:val="15"/>
          <w:szCs w:val="15"/>
          <w:color w:val="3C3C3B"/>
        </w:rPr>
        <w:t>Dr Arun J Sanyal, Professor of Medicine and Director of the Division of Gastroenterology at the Medical Center of the Virginia Commonwealth University in Richmond, USA. Former President of the American Association for the Study of Liver Diseases (AASLD);</w:t>
      </w:r>
    </w:p>
    <w:p>
      <w:pPr>
        <w:spacing w:after="0" w:line="30" w:lineRule="exact"/>
        <w:rPr>
          <w:rFonts w:ascii="Arial" w:cs="Arial" w:eastAsia="Arial" w:hAnsi="Arial"/>
          <w:sz w:val="15"/>
          <w:szCs w:val="15"/>
          <w:color w:val="3C3C3B"/>
        </w:rPr>
      </w:pPr>
    </w:p>
    <w:p>
      <w:pPr>
        <w:ind w:left="520" w:right="100" w:hanging="260"/>
        <w:spacing w:after="0" w:line="293" w:lineRule="auto"/>
        <w:tabs>
          <w:tab w:leader="none" w:pos="504" w:val="left"/>
        </w:tabs>
        <w:numPr>
          <w:ilvl w:val="0"/>
          <w:numId w:val="21"/>
        </w:numPr>
        <w:rPr>
          <w:rFonts w:ascii="Arial" w:cs="Arial" w:eastAsia="Arial" w:hAnsi="Arial"/>
          <w:sz w:val="15"/>
          <w:szCs w:val="15"/>
          <w:color w:val="3C3C3B"/>
        </w:rPr>
      </w:pPr>
      <w:r>
        <w:rPr>
          <w:rFonts w:ascii="Arial" w:cs="Arial" w:eastAsia="Arial" w:hAnsi="Arial"/>
          <w:sz w:val="15"/>
          <w:szCs w:val="15"/>
          <w:color w:val="3C3C3B"/>
        </w:rPr>
        <w:t>Professor Pierre-Emmanuel Rautou, Clinical Specialist in Hepatology, Professor of Hepatology at Université Paris-Cité and Beaujon Hospital (Clichy, France), Head of the splanchnic hemodynamic laboratory at Beaujon Hospital;</w:t>
      </w:r>
    </w:p>
    <w:p>
      <w:pPr>
        <w:spacing w:after="0" w:line="16" w:lineRule="exact"/>
        <w:rPr>
          <w:rFonts w:ascii="Arial" w:cs="Arial" w:eastAsia="Arial" w:hAnsi="Arial"/>
          <w:sz w:val="15"/>
          <w:szCs w:val="15"/>
          <w:color w:val="3C3C3B"/>
        </w:rPr>
      </w:pPr>
    </w:p>
    <w:p>
      <w:pPr>
        <w:ind w:left="520" w:right="100" w:hanging="260"/>
        <w:spacing w:after="0" w:line="293" w:lineRule="auto"/>
        <w:tabs>
          <w:tab w:leader="none" w:pos="504" w:val="left"/>
        </w:tabs>
        <w:numPr>
          <w:ilvl w:val="0"/>
          <w:numId w:val="21"/>
        </w:numPr>
        <w:rPr>
          <w:rFonts w:ascii="Arial" w:cs="Arial" w:eastAsia="Arial" w:hAnsi="Arial"/>
          <w:sz w:val="15"/>
          <w:szCs w:val="15"/>
          <w:color w:val="3C3C3B"/>
        </w:rPr>
      </w:pPr>
      <w:r>
        <w:rPr>
          <w:rFonts w:ascii="Arial" w:cs="Arial" w:eastAsia="Arial" w:hAnsi="Arial"/>
          <w:sz w:val="15"/>
          <w:szCs w:val="15"/>
          <w:color w:val="3C3C3B"/>
        </w:rPr>
        <w:t>Professor Richard Moreau, Chairman of the Scientific Advisory Board of EF CLIF and Professor of Hepatology, Liver Unit, Beaujon Hospital, Assistance Publique Hôpitaux de Paris (APHP), Clichy, France.</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3C3C3B"/>
        </w:rPr>
        <w:t>On this occasion, Dean Hum, Chief Scientific Officer at GENFIT, provided an update on the pipeline and R&amp;D initiatives comprising GENFIT’s ACLF franchise.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3C3C3B"/>
        </w:rPr>
        <w:t>ACLF Patient Advocacy Council</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GENFIT hosted a ACLF Patient Advocacy Council session, involving:</w:t>
      </w:r>
    </w:p>
    <w:p>
      <w:pPr>
        <w:spacing w:after="0" w:line="79" w:lineRule="exact"/>
        <w:rPr>
          <w:sz w:val="20"/>
          <w:szCs w:val="20"/>
          <w:color w:val="auto"/>
        </w:rPr>
      </w:pPr>
    </w:p>
    <w:p>
      <w:pPr>
        <w:ind w:left="500" w:hanging="240"/>
        <w:spacing w:after="0"/>
        <w:tabs>
          <w:tab w:leader="none" w:pos="500" w:val="left"/>
        </w:tabs>
        <w:numPr>
          <w:ilvl w:val="0"/>
          <w:numId w:val="22"/>
        </w:numPr>
        <w:rPr>
          <w:rFonts w:ascii="Arial" w:cs="Arial" w:eastAsia="Arial" w:hAnsi="Arial"/>
          <w:sz w:val="15"/>
          <w:szCs w:val="15"/>
          <w:color w:val="3C3C3B"/>
        </w:rPr>
      </w:pPr>
      <w:r>
        <w:rPr>
          <w:rFonts w:ascii="Arial" w:cs="Arial" w:eastAsia="Arial" w:hAnsi="Arial"/>
          <w:sz w:val="15"/>
          <w:szCs w:val="15"/>
          <w:color w:val="3C3C3B"/>
        </w:rPr>
        <w:t>Dr. Jennifer Lai, leading transplant hepatologist from University of California San Francisco (MD, MBA, FACP);</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22"/>
        </w:numPr>
        <w:rPr>
          <w:rFonts w:ascii="Arial" w:cs="Arial" w:eastAsia="Arial" w:hAnsi="Arial"/>
          <w:sz w:val="15"/>
          <w:szCs w:val="15"/>
          <w:color w:val="3C3C3B"/>
        </w:rPr>
      </w:pPr>
      <w:r>
        <w:rPr>
          <w:rFonts w:ascii="Arial" w:cs="Arial" w:eastAsia="Arial" w:hAnsi="Arial"/>
          <w:sz w:val="15"/>
          <w:szCs w:val="15"/>
          <w:color w:val="3C3C3B"/>
        </w:rPr>
        <w:t>Patient advocacy groups: Global Liver Institute (GLI) and European Liver Patients’ Association (ELPA);</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22"/>
        </w:numPr>
        <w:rPr>
          <w:rFonts w:ascii="Arial" w:cs="Arial" w:eastAsia="Arial" w:hAnsi="Arial"/>
          <w:sz w:val="15"/>
          <w:szCs w:val="15"/>
          <w:color w:val="3C3C3B"/>
        </w:rPr>
      </w:pPr>
      <w:r>
        <w:rPr>
          <w:rFonts w:ascii="Arial" w:cs="Arial" w:eastAsia="Arial" w:hAnsi="Arial"/>
          <w:sz w:val="15"/>
          <w:szCs w:val="15"/>
          <w:color w:val="3C3C3B"/>
        </w:rPr>
        <w:t>Two patients who have had a liver transplant as a treatment for ACLF, and one patient caregiver.</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Discussions focused on ACLF awareness, information gaps, awareness of clinical trials, and regulatory engagement, from a patient advocacy perspective.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3C3C3B"/>
        </w:rPr>
        <w:t>Roundtable discussion “Advancing the Use of AI Tools in Hepatology Drug Development”</w:t>
      </w:r>
    </w:p>
    <w:p>
      <w:pPr>
        <w:spacing w:after="0" w:line="185" w:lineRule="exact"/>
        <w:rPr>
          <w:sz w:val="20"/>
          <w:szCs w:val="20"/>
          <w:color w:val="auto"/>
        </w:rPr>
      </w:pPr>
    </w:p>
    <w:p>
      <w:pPr>
        <w:jc w:val="both"/>
        <w:ind w:right="100" w:firstLine="318"/>
        <w:spacing w:after="0" w:line="293" w:lineRule="auto"/>
        <w:rPr>
          <w:sz w:val="20"/>
          <w:szCs w:val="20"/>
          <w:color w:val="auto"/>
        </w:rPr>
      </w:pPr>
      <w:r>
        <w:rPr>
          <w:rFonts w:ascii="Arial" w:cs="Arial" w:eastAsia="Arial" w:hAnsi="Arial"/>
          <w:sz w:val="15"/>
          <w:szCs w:val="15"/>
          <w:color w:val="3C3C3B"/>
        </w:rPr>
        <w:t>GENFIT participated in a roundtable discussion organized by Scrip-CITELINE on “Advancing the Use of AI Tools in Hepatology Drug Development” to take place on May 8, 2025.</w:t>
      </w:r>
    </w:p>
    <w:p>
      <w:pPr>
        <w:spacing w:after="0" w:line="177" w:lineRule="exact"/>
        <w:rPr>
          <w:sz w:val="20"/>
          <w:szCs w:val="20"/>
          <w:color w:val="auto"/>
        </w:rPr>
      </w:pPr>
    </w:p>
    <w:p>
      <w:pPr>
        <w:ind w:left="1580"/>
        <w:spacing w:after="0"/>
        <w:rPr>
          <w:sz w:val="20"/>
          <w:szCs w:val="20"/>
          <w:color w:val="auto"/>
        </w:rPr>
      </w:pPr>
      <w:r>
        <w:rPr>
          <w:rFonts w:ascii="Arial" w:cs="Arial" w:eastAsia="Arial" w:hAnsi="Arial"/>
          <w:sz w:val="21"/>
          <w:szCs w:val="21"/>
          <w:b w:val="1"/>
          <w:bCs w:val="1"/>
          <w:color w:val="005578"/>
        </w:rPr>
        <w:t>CCA: Acquisition of the full intellectual property rights for GNS561 from Genoscience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8242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both"/>
        <w:ind w:right="120" w:firstLine="318"/>
        <w:spacing w:after="0" w:line="274" w:lineRule="auto"/>
        <w:rPr>
          <w:sz w:val="20"/>
          <w:szCs w:val="20"/>
          <w:color w:val="auto"/>
        </w:rPr>
      </w:pPr>
      <w:r>
        <w:rPr>
          <w:rFonts w:ascii="Arial" w:cs="Arial" w:eastAsia="Arial" w:hAnsi="Arial"/>
          <w:sz w:val="15"/>
          <w:szCs w:val="15"/>
          <w:color w:val="3C3C3B"/>
        </w:rPr>
        <w:t>In early 2025, GENFIT completed the acquisition of the full intellectual property rights for GNS561 from Genoscience Pharma, expanding upon the limited rights initially obtained through a license at the end of 2021.</w:t>
      </w:r>
    </w:p>
    <w:p>
      <w:pPr>
        <w:spacing w:after="0" w:line="136" w:lineRule="exact"/>
        <w:rPr>
          <w:sz w:val="20"/>
          <w:szCs w:val="20"/>
          <w:color w:val="auto"/>
        </w:rPr>
      </w:pPr>
    </w:p>
    <w:p>
      <w:pPr>
        <w:jc w:val="both"/>
        <w:ind w:right="100" w:firstLine="318"/>
        <w:spacing w:after="0" w:line="263" w:lineRule="auto"/>
        <w:rPr>
          <w:sz w:val="20"/>
          <w:szCs w:val="20"/>
          <w:color w:val="auto"/>
        </w:rPr>
      </w:pPr>
      <w:r>
        <w:rPr>
          <w:rFonts w:ascii="Arial" w:cs="Arial" w:eastAsia="Arial" w:hAnsi="Arial"/>
          <w:sz w:val="15"/>
          <w:szCs w:val="15"/>
          <w:color w:val="3C3C3B"/>
        </w:rPr>
        <w:t>With this agreement, GENFIT acquired all patents and patent applications, know-how, and data held by Genoscience Pharma necessary for the development, manufacturing, and marketing of GNS561 worldwide (“GNS561 Technology”) regardless of its therapeutic indication, form, dosage, or formulation, incorporating in whole or in part the GNS561 Technology (including as an active ingredient) or manufactured using this Technology. As a result of the acquisition, the license agreement signed in 2021 was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22212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21230" cy="8255"/>
                    </a:xfrm>
                    <a:prstGeom prst="rect">
                      <a:avLst/>
                    </a:prstGeom>
                    <a:noFill/>
                  </pic:spPr>
                </pic:pic>
              </a:graphicData>
            </a:graphic>
          </wp:anchor>
        </w:drawing>
      </w:r>
    </w:p>
    <w:p>
      <w:pPr>
        <w:spacing w:after="0" w:line="334" w:lineRule="exact"/>
        <w:rPr>
          <w:sz w:val="20"/>
          <w:szCs w:val="20"/>
          <w:color w:val="auto"/>
        </w:rPr>
      </w:pPr>
    </w:p>
    <w:p>
      <w:pPr>
        <w:ind w:right="100" w:firstLine="6"/>
        <w:spacing w:after="0" w:line="218" w:lineRule="auto"/>
        <w:tabs>
          <w:tab w:leader="none" w:pos="96" w:val="left"/>
        </w:tabs>
        <w:numPr>
          <w:ilvl w:val="0"/>
          <w:numId w:val="23"/>
        </w:numPr>
        <w:rPr>
          <w:rFonts w:ascii="Arial" w:cs="Arial" w:eastAsia="Arial" w:hAnsi="Arial"/>
          <w:sz w:val="20"/>
          <w:szCs w:val="20"/>
          <w:color w:val="3C3C3B"/>
          <w:vertAlign w:val="superscript"/>
        </w:rPr>
      </w:pPr>
      <w:r>
        <w:rPr>
          <w:rFonts w:ascii="Arial" w:cs="Arial" w:eastAsia="Arial" w:hAnsi="Arial"/>
          <w:sz w:val="14"/>
          <w:szCs w:val="14"/>
          <w:i w:val="1"/>
          <w:iCs w:val="1"/>
          <w:color w:val="3C3C3B"/>
        </w:rPr>
        <w:t>EASL Studio is the first platform created by EASL to facilitate innovative scientific and strategic discussions. It brings together a wide range of stakeholders, including academics, industry partners, policymakers, regulatory bodies, and patients, to discuss a selected topic from various perspectives.</w:t>
      </w:r>
    </w:p>
    <w:p>
      <w:pPr>
        <w:spacing w:after="0" w:line="288" w:lineRule="exact"/>
        <w:rPr>
          <w:sz w:val="20"/>
          <w:szCs w:val="20"/>
          <w:color w:val="auto"/>
        </w:rPr>
      </w:pPr>
    </w:p>
    <w:tbl>
      <w:tblPr>
        <w:tblLayout w:type="fixed"/>
        <w:tblInd w:w="2830" w:type="dxa"/>
        <w:tblCellMar>
          <w:top w:w="0" w:type="dxa"/>
          <w:left w:w="0" w:type="dxa"/>
          <w:bottom w:w="0" w:type="dxa"/>
          <w:right w:w="0" w:type="dxa"/>
        </w:tblCellMar>
      </w:tblPr>
      <w:tr>
        <w:trPr>
          <w:trHeight w:val="146"/>
        </w:trPr>
        <w:tc>
          <w:tcPr>
            <w:tcW w:w="7880" w:type="dxa"/>
            <w:vAlign w:val="bottom"/>
            <w:tcBorders>
              <w:left w:val="single" w:sz="8" w:color="57879D"/>
            </w:tcBorders>
            <w:vMerge w:val="restart"/>
          </w:tcPr>
          <w:p>
            <w:pPr>
              <w:ind w:left="40"/>
              <w:spacing w:after="0"/>
              <w:rPr>
                <w:sz w:val="20"/>
                <w:szCs w:val="20"/>
                <w:color w:val="auto"/>
              </w:rPr>
            </w:pPr>
            <w:r>
              <w:rPr>
                <w:rFonts w:ascii="Arial" w:cs="Arial" w:eastAsia="Arial" w:hAnsi="Arial"/>
                <w:sz w:val="15"/>
                <w:szCs w:val="15"/>
                <w:color w:val="3C3C3B"/>
              </w:rPr>
              <w:t>Half-Year Business and Financial Report at June 30, 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7880" w:type="dxa"/>
            <w:vAlign w:val="bottom"/>
            <w:tcBorders>
              <w:left w:val="single" w:sz="8" w:color="57879D"/>
            </w:tcBorders>
            <w:vMerge w:val="continue"/>
          </w:tcPr>
          <w:p>
            <w:pPr>
              <w:spacing w:after="0"/>
              <w:rPr>
                <w:sz w:val="24"/>
                <w:szCs w:val="24"/>
                <w:color w:val="auto"/>
              </w:rPr>
            </w:pPr>
          </w:p>
        </w:tc>
        <w:tc>
          <w:tcPr>
            <w:tcW w:w="640" w:type="dxa"/>
            <w:vAlign w:val="bottom"/>
            <w:tcBorders>
              <w:bottom w:val="single" w:sz="8" w:color="DBDBDB"/>
            </w:tcBorders>
            <w:shd w:val="clear" w:color="auto" w:fill="DBDBDB"/>
          </w:tcPr>
          <w:p>
            <w:pPr>
              <w:jc w:val="right"/>
              <w:ind w:right="465"/>
              <w:spacing w:after="0"/>
              <w:rPr>
                <w:sz w:val="20"/>
                <w:szCs w:val="20"/>
                <w:color w:val="auto"/>
              </w:rPr>
            </w:pPr>
            <w:r>
              <w:rPr>
                <w:rFonts w:ascii="Arial" w:cs="Arial" w:eastAsia="Arial" w:hAnsi="Arial"/>
                <w:sz w:val="15"/>
                <w:szCs w:val="15"/>
                <w:color w:val="3C3C3B"/>
                <w:w w:val="95"/>
              </w:rPr>
              <w:t>6</w:t>
            </w:r>
          </w:p>
        </w:tc>
        <w:tc>
          <w:tcPr>
            <w:tcW w:w="0" w:type="dxa"/>
            <w:vAlign w:val="bottom"/>
          </w:tcPr>
          <w:p>
            <w:pPr>
              <w:spacing w:after="0"/>
              <w:rPr>
                <w:sz w:val="1"/>
                <w:szCs w:val="1"/>
                <w:color w:val="auto"/>
              </w:rPr>
            </w:pPr>
          </w:p>
        </w:tc>
      </w:tr>
      <w:tr>
        <w:trPr>
          <w:trHeight w:val="146"/>
        </w:trPr>
        <w:tc>
          <w:tcPr>
            <w:tcW w:w="7880" w:type="dxa"/>
            <w:vAlign w:val="bottom"/>
            <w:tcBorders>
              <w:left w:val="single" w:sz="8" w:color="57879D"/>
            </w:tcBorders>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-369570</wp:posOffset>
            </wp:positionV>
            <wp:extent cx="1094105" cy="277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94105" cy="277495"/>
                    </a:xfrm>
                    <a:prstGeom prst="rect">
                      <a:avLst/>
                    </a:prstGeom>
                    <a:noFill/>
                  </pic:spPr>
                </pic:pic>
              </a:graphicData>
            </a:graphic>
          </wp:anchor>
        </w:drawing>
      </w:r>
    </w:p>
    <w:p>
      <w:pPr>
        <w:sectPr>
          <w:pgSz w:w="11900" w:h="16838" w:orient="portrait"/>
          <w:cols w:equalWidth="0" w:num="1">
            <w:col w:w="11340"/>
          </w:cols>
          <w:pgMar w:left="320" w:top="1248" w:right="239" w:bottom="1440" w:gutter="0" w:footer="0" w:header="0"/>
        </w:sectPr>
      </w:pPr>
    </w:p>
    <w:bookmarkStart w:id="12" w:name="page13"/>
    <w:bookmarkEnd w:id="12"/>
    <w:p>
      <w:pPr>
        <w:jc w:val="both"/>
        <w:ind w:right="100" w:firstLine="318"/>
        <w:spacing w:after="0" w:line="293" w:lineRule="auto"/>
        <w:rPr>
          <w:sz w:val="20"/>
          <w:szCs w:val="20"/>
          <w:color w:val="auto"/>
        </w:rPr>
      </w:pPr>
      <w:r>
        <w:rPr>
          <w:rFonts w:ascii="Arial" w:cs="Arial" w:eastAsia="Arial" w:hAnsi="Arial"/>
          <w:sz w:val="15"/>
          <w:szCs w:val="15"/>
          <w:color w:val="3C3C3B"/>
        </w:rPr>
        <w:t>As a reminder, at the end of 2021, we signed a license from Genoscience Pharma to develop and commercialize the investigational treatment GNS561 in cholangiocarcinome (CCA) in the United States, Canada and Europe, including the United Kingdom and Switzerland.</w:t>
      </w:r>
    </w:p>
    <w:p>
      <w:pPr>
        <w:spacing w:after="0" w:line="122" w:lineRule="exact"/>
        <w:rPr>
          <w:sz w:val="20"/>
          <w:szCs w:val="20"/>
          <w:color w:val="auto"/>
        </w:rPr>
      </w:pPr>
    </w:p>
    <w:p>
      <w:pPr>
        <w:jc w:val="both"/>
        <w:ind w:right="100" w:firstLine="318"/>
        <w:spacing w:after="0" w:line="293" w:lineRule="auto"/>
        <w:rPr>
          <w:sz w:val="20"/>
          <w:szCs w:val="20"/>
          <w:color w:val="auto"/>
        </w:rPr>
      </w:pPr>
      <w:r>
        <w:rPr>
          <w:rFonts w:ascii="Arial" w:cs="Arial" w:eastAsia="Arial" w:hAnsi="Arial"/>
          <w:sz w:val="15"/>
          <w:szCs w:val="15"/>
          <w:color w:val="3C3C3B"/>
        </w:rPr>
        <w:t>Genoscience Pharma is a French clinical-stage biotechnology company developing novel lysosomotropic therapeutics to establish a new standard of care against cancer, autoimmune and infectious diseases.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 xml:space="preserve">For more information about the financial terms of this new agreement, see </w:t>
      </w:r>
      <w:r>
        <w:rPr>
          <w:rFonts w:ascii="Arial" w:cs="Arial" w:eastAsia="Arial" w:hAnsi="Arial"/>
          <w:sz w:val="15"/>
          <w:szCs w:val="15"/>
          <w:u w:val="single" w:color="auto"/>
          <w:color w:val="0000FF"/>
        </w:rPr>
        <w:t>Note 2.1</w:t>
      </w:r>
      <w:r>
        <w:rPr>
          <w:rFonts w:ascii="Arial" w:cs="Arial" w:eastAsia="Arial" w:hAnsi="Arial"/>
          <w:sz w:val="15"/>
          <w:szCs w:val="15"/>
          <w:color w:val="3C3C3B"/>
        </w:rPr>
        <w:t xml:space="preserve"> to our consolidated financial statements included in this report.</w:t>
      </w:r>
    </w:p>
    <w:p>
      <w:pPr>
        <w:spacing w:after="0" w:line="227" w:lineRule="exact"/>
        <w:rPr>
          <w:sz w:val="20"/>
          <w:szCs w:val="20"/>
          <w:color w:val="auto"/>
        </w:rPr>
      </w:pPr>
    </w:p>
    <w:p>
      <w:pPr>
        <w:ind w:left="1580"/>
        <w:spacing w:after="0"/>
        <w:rPr>
          <w:sz w:val="20"/>
          <w:szCs w:val="20"/>
          <w:color w:val="auto"/>
        </w:rPr>
      </w:pPr>
      <w:r>
        <w:rPr>
          <w:rFonts w:ascii="Arial" w:cs="Arial" w:eastAsia="Arial" w:hAnsi="Arial"/>
          <w:sz w:val="21"/>
          <w:szCs w:val="21"/>
          <w:b w:val="1"/>
          <w:bCs w:val="1"/>
          <w:color w:val="005578"/>
        </w:rPr>
        <w:t>Main events related to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824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280" w:lineRule="exact"/>
        <w:rPr>
          <w:sz w:val="20"/>
          <w:szCs w:val="20"/>
          <w:color w:val="auto"/>
        </w:rPr>
      </w:pPr>
    </w:p>
    <w:p>
      <w:pPr>
        <w:jc w:val="both"/>
        <w:ind w:right="100" w:firstLine="318"/>
        <w:spacing w:after="0" w:line="293" w:lineRule="auto"/>
        <w:rPr>
          <w:sz w:val="20"/>
          <w:szCs w:val="20"/>
          <w:color w:val="auto"/>
        </w:rPr>
      </w:pPr>
      <w:r>
        <w:rPr>
          <w:rFonts w:ascii="Arial" w:cs="Arial" w:eastAsia="Arial" w:hAnsi="Arial"/>
          <w:sz w:val="15"/>
          <w:szCs w:val="15"/>
          <w:color w:val="3C3C3B"/>
        </w:rPr>
        <w:t>Following the retirement of Chief Medical Officer (CMO) Carol Addy on June 30, 2025, a new CMO has been appointed and will officially assume the role at the end of the year.</w:t>
      </w:r>
    </w:p>
    <w:p>
      <w:pPr>
        <w:spacing w:after="0" w:line="122" w:lineRule="exact"/>
        <w:rPr>
          <w:sz w:val="20"/>
          <w:szCs w:val="20"/>
          <w:color w:val="auto"/>
        </w:rPr>
      </w:pPr>
    </w:p>
    <w:p>
      <w:pPr>
        <w:jc w:val="both"/>
        <w:ind w:right="100" w:firstLine="318"/>
        <w:spacing w:after="0" w:line="293" w:lineRule="auto"/>
        <w:rPr>
          <w:sz w:val="20"/>
          <w:szCs w:val="20"/>
          <w:color w:val="auto"/>
        </w:rPr>
      </w:pPr>
      <w:r>
        <w:rPr>
          <w:rFonts w:ascii="Arial" w:cs="Arial" w:eastAsia="Arial" w:hAnsi="Arial"/>
          <w:sz w:val="15"/>
          <w:szCs w:val="15"/>
          <w:color w:val="3C3C3B"/>
        </w:rPr>
        <w:t>Chief Scientific Officer Dean Hum will retire, effective as of September 30, 2025. He will be replaced by Sakina Sayah-Jeanne, currently EVP Research &amp; Translational Science and member of the Executive Committee since she joined GENFIT in 2022.</w:t>
      </w:r>
    </w:p>
    <w:p>
      <w:pPr>
        <w:spacing w:after="0" w:line="109" w:lineRule="exact"/>
        <w:rPr>
          <w:sz w:val="20"/>
          <w:szCs w:val="20"/>
          <w:color w:val="auto"/>
        </w:rPr>
      </w:pPr>
    </w:p>
    <w:p>
      <w:pPr>
        <w:jc w:val="both"/>
        <w:ind w:right="100" w:firstLine="318"/>
        <w:spacing w:after="0" w:line="275" w:lineRule="auto"/>
        <w:rPr>
          <w:sz w:val="20"/>
          <w:szCs w:val="20"/>
          <w:color w:val="auto"/>
        </w:rPr>
      </w:pPr>
      <w:r>
        <w:rPr>
          <w:rFonts w:ascii="Arial" w:cs="Arial" w:eastAsia="Arial" w:hAnsi="Arial"/>
          <w:sz w:val="15"/>
          <w:szCs w:val="15"/>
          <w:color w:val="3C3C3B"/>
        </w:rPr>
        <w:t>In order to strengthen its composition and its expertise in financial and extra-financial matters, the Board of Directors proposed to shareholders the appointment of Mr. Tristan Imbert as director. The nomination was approved for a three-year term by the Shareholders' Meeting held on June 17, 2025. Mr. Tristan Imbert joined the Audit Committee and the ESG Committee following his appointment.</w:t>
      </w:r>
    </w:p>
    <w:p>
      <w:pPr>
        <w:spacing w:after="0" w:line="136" w:lineRule="exact"/>
        <w:rPr>
          <w:sz w:val="20"/>
          <w:szCs w:val="20"/>
          <w:color w:val="auto"/>
        </w:rPr>
      </w:pPr>
    </w:p>
    <w:p>
      <w:pPr>
        <w:jc w:val="center"/>
        <w:ind w:right="4700"/>
        <w:spacing w:after="0"/>
        <w:rPr>
          <w:sz w:val="20"/>
          <w:szCs w:val="20"/>
          <w:color w:val="auto"/>
        </w:rPr>
      </w:pPr>
      <w:r>
        <w:rPr>
          <w:rFonts w:ascii="Arial" w:cs="Arial" w:eastAsia="Arial" w:hAnsi="Arial"/>
          <w:sz w:val="15"/>
          <w:szCs w:val="15"/>
          <w:color w:val="3C3C3B"/>
        </w:rPr>
        <w:t>The biography of Mr. Tristan Imbert, including the positions he has held,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1417320</wp:posOffset>
            </wp:positionH>
            <wp:positionV relativeFrom="paragraph">
              <wp:posOffset>137160</wp:posOffset>
            </wp:positionV>
            <wp:extent cx="8255" cy="20110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2011045"/>
                    </a:xfrm>
                    <a:prstGeom prst="rect">
                      <a:avLst/>
                    </a:prstGeom>
                    <a:noFill/>
                  </pic:spPr>
                </pic:pic>
              </a:graphicData>
            </a:graphic>
          </wp:anchor>
        </w:drawing>
      </w:r>
    </w:p>
    <w:p>
      <w:pPr>
        <w:spacing w:after="0" w:line="205" w:lineRule="exact"/>
        <w:rPr>
          <w:sz w:val="20"/>
          <w:szCs w:val="20"/>
          <w:color w:val="auto"/>
        </w:rPr>
      </w:pPr>
    </w:p>
    <w:p>
      <w:pPr>
        <w:ind w:left="2720"/>
        <w:spacing w:after="0"/>
        <w:rPr>
          <w:sz w:val="20"/>
          <w:szCs w:val="20"/>
          <w:color w:val="auto"/>
        </w:rPr>
      </w:pPr>
      <w:r>
        <w:rPr>
          <w:rFonts w:ascii="Arial" w:cs="Arial" w:eastAsia="Arial" w:hAnsi="Arial"/>
          <w:sz w:val="15"/>
          <w:szCs w:val="15"/>
          <w:b w:val="1"/>
          <w:bCs w:val="1"/>
          <w:color w:val="406274"/>
        </w:rPr>
        <w:t>Tristan Imbert</w:t>
      </w:r>
    </w:p>
    <w:p>
      <w:pPr>
        <w:spacing w:after="0" w:line="185" w:lineRule="exact"/>
        <w:rPr>
          <w:sz w:val="20"/>
          <w:szCs w:val="20"/>
          <w:color w:val="auto"/>
        </w:rPr>
      </w:pPr>
    </w:p>
    <w:p>
      <w:pPr>
        <w:ind w:left="2720"/>
        <w:spacing w:after="0"/>
        <w:rPr>
          <w:sz w:val="20"/>
          <w:szCs w:val="20"/>
          <w:color w:val="auto"/>
        </w:rPr>
      </w:pPr>
      <w:r>
        <w:rPr>
          <w:rFonts w:ascii="Arial" w:cs="Arial" w:eastAsia="Arial" w:hAnsi="Arial"/>
          <w:sz w:val="15"/>
          <w:szCs w:val="15"/>
          <w:b w:val="1"/>
          <w:bCs w:val="1"/>
          <w:i w:val="1"/>
          <w:iCs w:val="1"/>
          <w:color w:val="3C3C3B"/>
        </w:rPr>
        <w:t>Independent Director of the Company</w:t>
      </w:r>
    </w:p>
    <w:p>
      <w:pPr>
        <w:spacing w:after="0" w:line="238" w:lineRule="exact"/>
        <w:rPr>
          <w:sz w:val="20"/>
          <w:szCs w:val="20"/>
          <w:color w:val="auto"/>
        </w:rPr>
      </w:pPr>
    </w:p>
    <w:p>
      <w:pPr>
        <w:jc w:val="both"/>
        <w:ind w:left="2400" w:right="120"/>
        <w:spacing w:after="0" w:line="246" w:lineRule="auto"/>
        <w:rPr>
          <w:sz w:val="20"/>
          <w:szCs w:val="20"/>
          <w:color w:val="auto"/>
        </w:rPr>
      </w:pPr>
      <w:r>
        <w:rPr>
          <w:rFonts w:ascii="Arial" w:cs="Arial" w:eastAsia="Arial" w:hAnsi="Arial"/>
          <w:sz w:val="15"/>
          <w:szCs w:val="15"/>
          <w:color w:val="3C3C3B"/>
        </w:rPr>
        <w:t>Mr Tristan Imbert is an experienced CFO with over 18 years' experience in finance, 10 years in R&amp;D, and 7 years in strategic roles. Mr. Tristan Imbert began his career at Sanofi Aventis in the R&amp;D function and was based in France, the UK and the USA (1989-2000). In 2000 he joined the consulting firm BCG. Based between Paris and New York, he worked with clients in the pharmaceutical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-333375</wp:posOffset>
            </wp:positionV>
            <wp:extent cx="950595" cy="950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50595" cy="950595"/>
                    </a:xfrm>
                    <a:prstGeom prst="rect">
                      <a:avLst/>
                    </a:prstGeom>
                    <a:noFill/>
                  </pic:spPr>
                </pic:pic>
              </a:graphicData>
            </a:graphic>
          </wp:anchor>
        </w:drawing>
      </w:r>
    </w:p>
    <w:p>
      <w:pPr>
        <w:jc w:val="both"/>
        <w:ind w:left="2400" w:right="140"/>
        <w:spacing w:after="0" w:line="230" w:lineRule="auto"/>
        <w:rPr>
          <w:sz w:val="20"/>
          <w:szCs w:val="20"/>
          <w:color w:val="auto"/>
        </w:rPr>
      </w:pPr>
      <w:r>
        <w:rPr>
          <w:rFonts w:ascii="Arial" w:cs="Arial" w:eastAsia="Arial" w:hAnsi="Arial"/>
          <w:sz w:val="15"/>
          <w:szCs w:val="15"/>
          <w:color w:val="3C3C3B"/>
        </w:rPr>
        <w:t>industry. In 2005, Tristan Imbert joined Novartis and was appointed Head of Strategic Planning in Basel. He progressed within the Group in the finance function and became CFO Nordic Countries and then CFO Canada. In 2018, he was promoted to CFO of</w:t>
      </w:r>
    </w:p>
    <w:p>
      <w:pPr>
        <w:ind w:left="2400"/>
        <w:spacing w:after="0"/>
        <w:rPr>
          <w:sz w:val="20"/>
          <w:szCs w:val="20"/>
          <w:color w:val="auto"/>
        </w:rPr>
      </w:pPr>
      <w:r>
        <w:rPr>
          <w:rFonts w:ascii="Arial" w:cs="Arial" w:eastAsia="Arial" w:hAnsi="Arial"/>
          <w:sz w:val="15"/>
          <w:szCs w:val="15"/>
          <w:color w:val="3C3C3B"/>
        </w:rPr>
        <w:t>Novartis Gene Therapies. After three and a half years in this role, he joined biotech Cimeio Therapeutics in 2021, as CFO, and</w:t>
      </w:r>
    </w:p>
    <w:p>
      <w:pPr>
        <w:jc w:val="both"/>
        <w:ind w:left="2400" w:right="140"/>
        <w:spacing w:after="0" w:line="230" w:lineRule="auto"/>
        <w:rPr>
          <w:sz w:val="20"/>
          <w:szCs w:val="20"/>
          <w:color w:val="auto"/>
        </w:rPr>
      </w:pPr>
      <w:r>
        <w:rPr>
          <w:rFonts w:ascii="Arial" w:cs="Arial" w:eastAsia="Arial" w:hAnsi="Arial"/>
          <w:sz w:val="15"/>
          <w:szCs w:val="15"/>
          <w:color w:val="3C3C3B"/>
        </w:rPr>
        <w:t>prepared the company for a potential IPO and new financing round. Mr. Tristan Imbert left Cimieo Therapeutics in 2024 and no longer has an operational role. He worked in North America (Canada and the United States) and Europe (France, Switzerland,</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15"/>
          <w:szCs w:val="15"/>
          <w:color w:val="3C3C3B"/>
        </w:rPr>
        <w:t>Sweden, and the United Kingdom) in international and multicultural environments.</w:t>
      </w:r>
    </w:p>
    <w:p>
      <w:pPr>
        <w:spacing w:after="0" w:line="224" w:lineRule="exact"/>
        <w:rPr>
          <w:sz w:val="20"/>
          <w:szCs w:val="20"/>
          <w:color w:val="auto"/>
        </w:rPr>
      </w:pPr>
    </w:p>
    <w:p>
      <w:pPr>
        <w:jc w:val="both"/>
        <w:ind w:left="2400" w:right="120"/>
        <w:spacing w:after="0" w:line="274" w:lineRule="auto"/>
        <w:rPr>
          <w:sz w:val="20"/>
          <w:szCs w:val="20"/>
          <w:color w:val="auto"/>
        </w:rPr>
      </w:pPr>
      <w:r>
        <w:rPr>
          <w:rFonts w:ascii="Arial" w:cs="Arial" w:eastAsia="Arial" w:hAnsi="Arial"/>
          <w:sz w:val="15"/>
          <w:szCs w:val="15"/>
          <w:color w:val="3C3C3B"/>
        </w:rPr>
        <w:t>Tristan Imbert holds a Master's degree in applied mathematics from the Université de Paris-Sud and an MBA from Columbia University-Graduate School of Business in New York.</w:t>
      </w:r>
    </w:p>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terms of office of Mr. Eric Baclet and Ms. Katherine Kalin were renewed for a period of three years at the same Annual Shareholders Meeting.</w:t>
      </w:r>
    </w:p>
    <w:p>
      <w:pPr>
        <w:spacing w:after="0" w:line="322" w:lineRule="exact"/>
        <w:rPr>
          <w:sz w:val="20"/>
          <w:szCs w:val="20"/>
          <w:color w:val="auto"/>
        </w:rPr>
      </w:pPr>
    </w:p>
    <w:tbl>
      <w:tblPr>
        <w:tblLayout w:type="fixed"/>
        <w:tblInd w:w="2830" w:type="dxa"/>
        <w:tblCellMar>
          <w:top w:w="0" w:type="dxa"/>
          <w:left w:w="0" w:type="dxa"/>
          <w:bottom w:w="0" w:type="dxa"/>
          <w:right w:w="0" w:type="dxa"/>
        </w:tblCellMar>
      </w:tblPr>
      <w:tr>
        <w:trPr>
          <w:trHeight w:val="146"/>
        </w:trPr>
        <w:tc>
          <w:tcPr>
            <w:tcW w:w="7880" w:type="dxa"/>
            <w:vAlign w:val="bottom"/>
            <w:tcBorders>
              <w:left w:val="single" w:sz="8" w:color="57879D"/>
            </w:tcBorders>
            <w:vMerge w:val="restart"/>
          </w:tcPr>
          <w:p>
            <w:pPr>
              <w:ind w:left="40"/>
              <w:spacing w:after="0"/>
              <w:rPr>
                <w:sz w:val="20"/>
                <w:szCs w:val="20"/>
                <w:color w:val="auto"/>
              </w:rPr>
            </w:pPr>
            <w:r>
              <w:rPr>
                <w:rFonts w:ascii="Arial" w:cs="Arial" w:eastAsia="Arial" w:hAnsi="Arial"/>
                <w:sz w:val="15"/>
                <w:szCs w:val="15"/>
                <w:color w:val="3C3C3B"/>
              </w:rPr>
              <w:t>Half-Year Business and Financial Report at June 30, 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7880" w:type="dxa"/>
            <w:vAlign w:val="bottom"/>
            <w:tcBorders>
              <w:left w:val="single" w:sz="8" w:color="57879D"/>
            </w:tcBorders>
            <w:vMerge w:val="continue"/>
          </w:tcPr>
          <w:p>
            <w:pPr>
              <w:spacing w:after="0"/>
              <w:rPr>
                <w:sz w:val="24"/>
                <w:szCs w:val="24"/>
                <w:color w:val="auto"/>
              </w:rPr>
            </w:pPr>
          </w:p>
        </w:tc>
        <w:tc>
          <w:tcPr>
            <w:tcW w:w="640" w:type="dxa"/>
            <w:vAlign w:val="bottom"/>
            <w:tcBorders>
              <w:bottom w:val="single" w:sz="8" w:color="DBDBDB"/>
            </w:tcBorders>
            <w:shd w:val="clear" w:color="auto" w:fill="DBDBDB"/>
          </w:tcPr>
          <w:p>
            <w:pPr>
              <w:jc w:val="right"/>
              <w:ind w:right="465"/>
              <w:spacing w:after="0"/>
              <w:rPr>
                <w:sz w:val="20"/>
                <w:szCs w:val="20"/>
                <w:color w:val="auto"/>
              </w:rPr>
            </w:pPr>
            <w:r>
              <w:rPr>
                <w:rFonts w:ascii="Arial" w:cs="Arial" w:eastAsia="Arial" w:hAnsi="Arial"/>
                <w:sz w:val="15"/>
                <w:szCs w:val="15"/>
                <w:color w:val="3C3C3B"/>
                <w:w w:val="95"/>
              </w:rPr>
              <w:t>7</w:t>
            </w:r>
          </w:p>
        </w:tc>
        <w:tc>
          <w:tcPr>
            <w:tcW w:w="0" w:type="dxa"/>
            <w:vAlign w:val="bottom"/>
          </w:tcPr>
          <w:p>
            <w:pPr>
              <w:spacing w:after="0"/>
              <w:rPr>
                <w:sz w:val="1"/>
                <w:szCs w:val="1"/>
                <w:color w:val="auto"/>
              </w:rPr>
            </w:pPr>
          </w:p>
        </w:tc>
      </w:tr>
      <w:tr>
        <w:trPr>
          <w:trHeight w:val="146"/>
        </w:trPr>
        <w:tc>
          <w:tcPr>
            <w:tcW w:w="7880" w:type="dxa"/>
            <w:vAlign w:val="bottom"/>
            <w:tcBorders>
              <w:left w:val="single" w:sz="8" w:color="57879D"/>
            </w:tcBorders>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-369570</wp:posOffset>
            </wp:positionV>
            <wp:extent cx="1094105" cy="277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94105" cy="277495"/>
                    </a:xfrm>
                    <a:prstGeom prst="rect">
                      <a:avLst/>
                    </a:prstGeom>
                    <a:noFill/>
                  </pic:spPr>
                </pic:pic>
              </a:graphicData>
            </a:graphic>
          </wp:anchor>
        </w:drawing>
      </w:r>
    </w:p>
    <w:p>
      <w:pPr>
        <w:sectPr>
          <w:pgSz w:w="11900" w:h="16838" w:orient="portrait"/>
          <w:cols w:equalWidth="0" w:num="1">
            <w:col w:w="11340"/>
          </w:cols>
          <w:pgMar w:left="320" w:top="1315" w:right="239" w:bottom="1440" w:gutter="0" w:footer="0" w:header="0"/>
        </w:sectPr>
      </w:pPr>
    </w:p>
    <w:bookmarkStart w:id="13" w:name="page14"/>
    <w:bookmarkEnd w:id="13"/>
    <w:p>
      <w:pPr>
        <w:ind w:left="320"/>
        <w:spacing w:after="0"/>
        <w:rPr>
          <w:sz w:val="20"/>
          <w:szCs w:val="20"/>
          <w:color w:val="auto"/>
        </w:rPr>
      </w:pPr>
      <w:r>
        <w:rPr>
          <w:rFonts w:ascii="Arial" w:cs="Arial" w:eastAsia="Arial" w:hAnsi="Arial"/>
          <w:sz w:val="15"/>
          <w:szCs w:val="15"/>
          <w:color w:val="3C3C3B"/>
        </w:rPr>
        <w:t>At the date of this report, GENFIT's Board of Directors and its committees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5"/>
                <w:szCs w:val="15"/>
                <w:b w:val="1"/>
                <w:bCs w:val="1"/>
                <w:color w:val="3C3C3B"/>
              </w:rPr>
              <w:t>Nomination and</w:t>
            </w:r>
          </w:p>
        </w:tc>
        <w:tc>
          <w:tcPr>
            <w:tcW w:w="20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880" w:type="dxa"/>
            <w:vAlign w:val="bottom"/>
            <w:vMerge w:val="restart"/>
          </w:tcPr>
          <w:p>
            <w:pPr>
              <w:jc w:val="center"/>
              <w:ind w:right="45"/>
              <w:spacing w:after="0"/>
              <w:rPr>
                <w:sz w:val="20"/>
                <w:szCs w:val="20"/>
                <w:color w:val="auto"/>
              </w:rPr>
            </w:pPr>
            <w:r>
              <w:rPr>
                <w:rFonts w:ascii="Arial" w:cs="Arial" w:eastAsia="Arial" w:hAnsi="Arial"/>
                <w:sz w:val="15"/>
                <w:szCs w:val="15"/>
                <w:b w:val="1"/>
                <w:bCs w:val="1"/>
                <w:color w:val="3C3C3B"/>
              </w:rPr>
              <w:t>Independent Director</w:t>
            </w:r>
          </w:p>
        </w:tc>
        <w:tc>
          <w:tcPr>
            <w:tcW w:w="1800" w:type="dxa"/>
            <w:vAlign w:val="bottom"/>
            <w:vMerge w:val="restart"/>
          </w:tcPr>
          <w:p>
            <w:pPr>
              <w:jc w:val="center"/>
              <w:ind w:right="5"/>
              <w:spacing w:after="0"/>
              <w:rPr>
                <w:sz w:val="20"/>
                <w:szCs w:val="20"/>
                <w:color w:val="auto"/>
              </w:rPr>
            </w:pPr>
            <w:r>
              <w:rPr>
                <w:rFonts w:ascii="Arial" w:cs="Arial" w:eastAsia="Arial" w:hAnsi="Arial"/>
                <w:sz w:val="15"/>
                <w:szCs w:val="15"/>
                <w:b w:val="1"/>
                <w:bCs w:val="1"/>
                <w:color w:val="3C3C3B"/>
                <w:w w:val="99"/>
              </w:rPr>
              <w:t>Audit Committee</w:t>
            </w:r>
          </w:p>
        </w:tc>
        <w:tc>
          <w:tcPr>
            <w:tcW w:w="1760" w:type="dxa"/>
            <w:vAlign w:val="bottom"/>
          </w:tcPr>
          <w:p>
            <w:pPr>
              <w:jc w:val="center"/>
              <w:ind w:left="5"/>
              <w:spacing w:after="0"/>
              <w:rPr>
                <w:sz w:val="20"/>
                <w:szCs w:val="20"/>
                <w:color w:val="auto"/>
              </w:rPr>
            </w:pPr>
            <w:r>
              <w:rPr>
                <w:rFonts w:ascii="Arial" w:cs="Arial" w:eastAsia="Arial" w:hAnsi="Arial"/>
                <w:sz w:val="15"/>
                <w:szCs w:val="15"/>
                <w:b w:val="1"/>
                <w:bCs w:val="1"/>
                <w:color w:val="3C3C3B"/>
                <w:w w:val="99"/>
              </w:rPr>
              <w:t>Compensation</w:t>
            </w:r>
          </w:p>
        </w:tc>
        <w:tc>
          <w:tcPr>
            <w:tcW w:w="2020" w:type="dxa"/>
            <w:vAlign w:val="bottom"/>
          </w:tcPr>
          <w:p>
            <w:pPr>
              <w:jc w:val="center"/>
              <w:spacing w:after="0"/>
              <w:rPr>
                <w:sz w:val="20"/>
                <w:szCs w:val="20"/>
                <w:color w:val="auto"/>
              </w:rPr>
            </w:pPr>
            <w:r>
              <w:rPr>
                <w:rFonts w:ascii="Arial" w:cs="Arial" w:eastAsia="Arial" w:hAnsi="Arial"/>
                <w:sz w:val="15"/>
                <w:szCs w:val="15"/>
                <w:b w:val="1"/>
                <w:bCs w:val="1"/>
                <w:color w:val="3C3C3B"/>
                <w:w w:val="99"/>
              </w:rPr>
              <w:t>Strategy and</w:t>
            </w:r>
          </w:p>
        </w:tc>
        <w:tc>
          <w:tcPr>
            <w:tcW w:w="1760" w:type="dxa"/>
            <w:vAlign w:val="bottom"/>
            <w:vMerge w:val="restart"/>
          </w:tcPr>
          <w:p>
            <w:pPr>
              <w:jc w:val="center"/>
              <w:ind w:right="5"/>
              <w:spacing w:after="0"/>
              <w:rPr>
                <w:sz w:val="20"/>
                <w:szCs w:val="20"/>
                <w:color w:val="auto"/>
              </w:rPr>
            </w:pPr>
            <w:r>
              <w:rPr>
                <w:rFonts w:ascii="Arial" w:cs="Arial" w:eastAsia="Arial" w:hAnsi="Arial"/>
                <w:sz w:val="15"/>
                <w:szCs w:val="15"/>
                <w:b w:val="1"/>
                <w:bCs w:val="1"/>
                <w:color w:val="3C3C3B"/>
                <w:w w:val="98"/>
              </w:rPr>
              <w:t>ESG Committee</w:t>
            </w:r>
          </w:p>
        </w:tc>
        <w:tc>
          <w:tcPr>
            <w:tcW w:w="0" w:type="dxa"/>
            <w:vAlign w:val="bottom"/>
          </w:tcPr>
          <w:p>
            <w:pPr>
              <w:spacing w:after="0"/>
              <w:rPr>
                <w:sz w:val="1"/>
                <w:szCs w:val="1"/>
                <w:color w:val="auto"/>
              </w:rPr>
            </w:pPr>
          </w:p>
        </w:tc>
      </w:tr>
      <w:tr>
        <w:trPr>
          <w:trHeight w:val="211"/>
        </w:trPr>
        <w:tc>
          <w:tcPr>
            <w:tcW w:w="20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3C3C3B"/>
              </w:rPr>
              <w:t>Committee</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3C3C3B"/>
              </w:rPr>
              <w:t>Alliances Committee</w:t>
            </w:r>
          </w:p>
        </w:tc>
        <w:tc>
          <w:tcPr>
            <w:tcW w:w="1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00" w:type="dxa"/>
            <w:vAlign w:val="bottom"/>
            <w:shd w:val="clear" w:color="auto" w:fill="EFF4F6"/>
          </w:tcPr>
          <w:p>
            <w:pPr>
              <w:ind w:left="20"/>
              <w:spacing w:after="0"/>
              <w:rPr>
                <w:sz w:val="20"/>
                <w:szCs w:val="20"/>
                <w:color w:val="auto"/>
              </w:rPr>
            </w:pPr>
            <w:r>
              <w:rPr>
                <w:rFonts w:ascii="Arial" w:cs="Arial" w:eastAsia="Arial" w:hAnsi="Arial"/>
                <w:sz w:val="15"/>
                <w:szCs w:val="15"/>
                <w:b w:val="1"/>
                <w:bCs w:val="1"/>
                <w:color w:val="0E5D78"/>
              </w:rPr>
              <w:t>Jean-François Mouney</w:t>
            </w:r>
          </w:p>
        </w:tc>
        <w:tc>
          <w:tcPr>
            <w:tcW w:w="1880" w:type="dxa"/>
            <w:vAlign w:val="bottom"/>
            <w:vMerge w:val="restart"/>
            <w:shd w:val="clear" w:color="auto" w:fill="EFF4F6"/>
          </w:tcPr>
          <w:p>
            <w:pPr>
              <w:jc w:val="center"/>
              <w:ind w:right="45"/>
              <w:spacing w:after="0"/>
              <w:rPr>
                <w:sz w:val="20"/>
                <w:szCs w:val="20"/>
                <w:color w:val="auto"/>
              </w:rPr>
            </w:pPr>
            <w:r>
              <w:rPr>
                <w:rFonts w:ascii="Arial" w:cs="Arial" w:eastAsia="Arial" w:hAnsi="Arial"/>
                <w:sz w:val="15"/>
                <w:szCs w:val="15"/>
                <w:color w:val="3C3C3B"/>
              </w:rPr>
              <w:t>No</w:t>
            </w:r>
          </w:p>
        </w:tc>
        <w:tc>
          <w:tcPr>
            <w:tcW w:w="1800" w:type="dxa"/>
            <w:vAlign w:val="bottom"/>
            <w:shd w:val="clear" w:color="auto" w:fill="EFF4F6"/>
          </w:tcPr>
          <w:p>
            <w:pPr>
              <w:spacing w:after="0"/>
              <w:rPr>
                <w:sz w:val="16"/>
                <w:szCs w:val="16"/>
                <w:color w:val="auto"/>
              </w:rPr>
            </w:pPr>
          </w:p>
        </w:tc>
        <w:tc>
          <w:tcPr>
            <w:tcW w:w="1760" w:type="dxa"/>
            <w:vAlign w:val="bottom"/>
            <w:vMerge w:val="restart"/>
            <w:shd w:val="clear" w:color="auto" w:fill="EFF4F6"/>
          </w:tcPr>
          <w:p>
            <w:pPr>
              <w:jc w:val="center"/>
              <w:spacing w:after="0"/>
              <w:rPr>
                <w:sz w:val="20"/>
                <w:szCs w:val="20"/>
                <w:color w:val="auto"/>
              </w:rPr>
            </w:pPr>
            <w:r>
              <w:rPr>
                <w:rFonts w:ascii="Arial" w:cs="Arial" w:eastAsia="Arial" w:hAnsi="Arial"/>
                <w:sz w:val="15"/>
                <w:szCs w:val="15"/>
                <w:color w:val="3C3C3B"/>
                <w:w w:val="98"/>
              </w:rPr>
              <w:t>Member</w:t>
            </w:r>
          </w:p>
        </w:tc>
        <w:tc>
          <w:tcPr>
            <w:tcW w:w="2020" w:type="dxa"/>
            <w:vAlign w:val="bottom"/>
            <w:vMerge w:val="restart"/>
            <w:shd w:val="clear" w:color="auto" w:fill="EFF4F6"/>
          </w:tcPr>
          <w:p>
            <w:pPr>
              <w:jc w:val="center"/>
              <w:spacing w:after="0"/>
              <w:rPr>
                <w:sz w:val="20"/>
                <w:szCs w:val="20"/>
                <w:color w:val="auto"/>
              </w:rPr>
            </w:pPr>
            <w:r>
              <w:rPr>
                <w:rFonts w:ascii="Arial" w:cs="Arial" w:eastAsia="Arial" w:hAnsi="Arial"/>
                <w:sz w:val="15"/>
                <w:szCs w:val="15"/>
                <w:b w:val="1"/>
                <w:bCs w:val="1"/>
                <w:color w:val="3C3C3B"/>
              </w:rPr>
              <w:t>Chairman</w:t>
            </w:r>
          </w:p>
        </w:tc>
        <w:tc>
          <w:tcPr>
            <w:tcW w:w="1760" w:type="dxa"/>
            <w:vAlign w:val="bottom"/>
            <w:vMerge w:val="restart"/>
            <w:shd w:val="clear" w:color="auto" w:fill="EFF4F6"/>
          </w:tcPr>
          <w:p>
            <w:pPr>
              <w:jc w:val="center"/>
              <w:ind w:right="5"/>
              <w:spacing w:after="0"/>
              <w:rPr>
                <w:sz w:val="20"/>
                <w:szCs w:val="20"/>
                <w:color w:val="auto"/>
              </w:rPr>
            </w:pPr>
            <w:r>
              <w:rPr>
                <w:rFonts w:ascii="Arial" w:cs="Arial" w:eastAsia="Arial" w:hAnsi="Arial"/>
                <w:sz w:val="15"/>
                <w:szCs w:val="15"/>
                <w:color w:val="3C3C3B"/>
              </w:rPr>
              <w:t>Member</w:t>
            </w:r>
          </w:p>
        </w:tc>
        <w:tc>
          <w:tcPr>
            <w:tcW w:w="0" w:type="dxa"/>
            <w:vAlign w:val="bottom"/>
          </w:tcPr>
          <w:p>
            <w:pPr>
              <w:spacing w:after="0"/>
              <w:rPr>
                <w:sz w:val="1"/>
                <w:szCs w:val="1"/>
                <w:color w:val="auto"/>
              </w:rPr>
            </w:pPr>
          </w:p>
        </w:tc>
      </w:tr>
      <w:tr>
        <w:trPr>
          <w:trHeight w:val="100"/>
        </w:trPr>
        <w:tc>
          <w:tcPr>
            <w:tcW w:w="2000" w:type="dxa"/>
            <w:vAlign w:val="bottom"/>
            <w:vMerge w:val="restart"/>
            <w:shd w:val="clear" w:color="auto" w:fill="EFF4F6"/>
          </w:tcPr>
          <w:p>
            <w:pPr>
              <w:ind w:left="20"/>
              <w:spacing w:after="0"/>
              <w:rPr>
                <w:sz w:val="20"/>
                <w:szCs w:val="20"/>
                <w:color w:val="auto"/>
              </w:rPr>
            </w:pPr>
            <w:r>
              <w:rPr>
                <w:rFonts w:ascii="Arial" w:cs="Arial" w:eastAsia="Arial" w:hAnsi="Arial"/>
                <w:sz w:val="15"/>
                <w:szCs w:val="15"/>
                <w:color w:val="3C3C3B"/>
              </w:rPr>
              <w:t>Chairman of the Board</w:t>
            </w:r>
          </w:p>
        </w:tc>
        <w:tc>
          <w:tcPr>
            <w:tcW w:w="1880" w:type="dxa"/>
            <w:vAlign w:val="bottom"/>
            <w:vMerge w:val="continue"/>
            <w:shd w:val="clear" w:color="auto" w:fill="EFF4F6"/>
          </w:tcPr>
          <w:p>
            <w:pPr>
              <w:spacing w:after="0"/>
              <w:rPr>
                <w:sz w:val="8"/>
                <w:szCs w:val="8"/>
                <w:color w:val="auto"/>
              </w:rPr>
            </w:pPr>
          </w:p>
        </w:tc>
        <w:tc>
          <w:tcPr>
            <w:tcW w:w="1800" w:type="dxa"/>
            <w:vAlign w:val="bottom"/>
            <w:shd w:val="clear" w:color="auto" w:fill="EFF4F6"/>
          </w:tcPr>
          <w:p>
            <w:pPr>
              <w:spacing w:after="0"/>
              <w:rPr>
                <w:sz w:val="8"/>
                <w:szCs w:val="8"/>
                <w:color w:val="auto"/>
              </w:rPr>
            </w:pPr>
          </w:p>
        </w:tc>
        <w:tc>
          <w:tcPr>
            <w:tcW w:w="1760" w:type="dxa"/>
            <w:vAlign w:val="bottom"/>
            <w:vMerge w:val="continue"/>
            <w:shd w:val="clear" w:color="auto" w:fill="EFF4F6"/>
          </w:tcPr>
          <w:p>
            <w:pPr>
              <w:spacing w:after="0"/>
              <w:rPr>
                <w:sz w:val="8"/>
                <w:szCs w:val="8"/>
                <w:color w:val="auto"/>
              </w:rPr>
            </w:pPr>
          </w:p>
        </w:tc>
        <w:tc>
          <w:tcPr>
            <w:tcW w:w="2020" w:type="dxa"/>
            <w:vAlign w:val="bottom"/>
            <w:vMerge w:val="continue"/>
            <w:shd w:val="clear" w:color="auto" w:fill="EFF4F6"/>
          </w:tcPr>
          <w:p>
            <w:pPr>
              <w:spacing w:after="0"/>
              <w:rPr>
                <w:sz w:val="8"/>
                <w:szCs w:val="8"/>
                <w:color w:val="auto"/>
              </w:rPr>
            </w:pPr>
          </w:p>
        </w:tc>
        <w:tc>
          <w:tcPr>
            <w:tcW w:w="1760" w:type="dxa"/>
            <w:vAlign w:val="bottom"/>
            <w:vMerge w:val="continue"/>
            <w:shd w:val="clear" w:color="auto" w:fill="EFF4F6"/>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00" w:type="dxa"/>
            <w:vAlign w:val="bottom"/>
            <w:vMerge w:val="continue"/>
            <w:shd w:val="clear" w:color="auto" w:fill="EFF4F6"/>
          </w:tcPr>
          <w:p>
            <w:pPr>
              <w:spacing w:after="0"/>
              <w:rPr>
                <w:sz w:val="10"/>
                <w:szCs w:val="10"/>
                <w:color w:val="auto"/>
              </w:rPr>
            </w:pPr>
          </w:p>
        </w:tc>
        <w:tc>
          <w:tcPr>
            <w:tcW w:w="1880" w:type="dxa"/>
            <w:vAlign w:val="bottom"/>
            <w:shd w:val="clear" w:color="auto" w:fill="EFF4F6"/>
          </w:tcPr>
          <w:p>
            <w:pPr>
              <w:spacing w:after="0"/>
              <w:rPr>
                <w:sz w:val="10"/>
                <w:szCs w:val="10"/>
                <w:color w:val="auto"/>
              </w:rPr>
            </w:pPr>
          </w:p>
        </w:tc>
        <w:tc>
          <w:tcPr>
            <w:tcW w:w="1800" w:type="dxa"/>
            <w:vAlign w:val="bottom"/>
            <w:shd w:val="clear" w:color="auto" w:fill="EFF4F6"/>
          </w:tcPr>
          <w:p>
            <w:pPr>
              <w:spacing w:after="0"/>
              <w:rPr>
                <w:sz w:val="10"/>
                <w:szCs w:val="10"/>
                <w:color w:val="auto"/>
              </w:rPr>
            </w:pPr>
          </w:p>
        </w:tc>
        <w:tc>
          <w:tcPr>
            <w:tcW w:w="1760" w:type="dxa"/>
            <w:vAlign w:val="bottom"/>
            <w:shd w:val="clear" w:color="auto" w:fill="EFF4F6"/>
          </w:tcPr>
          <w:p>
            <w:pPr>
              <w:spacing w:after="0"/>
              <w:rPr>
                <w:sz w:val="10"/>
                <w:szCs w:val="10"/>
                <w:color w:val="auto"/>
              </w:rPr>
            </w:pPr>
          </w:p>
        </w:tc>
        <w:tc>
          <w:tcPr>
            <w:tcW w:w="2020" w:type="dxa"/>
            <w:vAlign w:val="bottom"/>
            <w:shd w:val="clear" w:color="auto" w:fill="EFF4F6"/>
          </w:tcPr>
          <w:p>
            <w:pPr>
              <w:spacing w:after="0"/>
              <w:rPr>
                <w:sz w:val="10"/>
                <w:szCs w:val="10"/>
                <w:color w:val="auto"/>
              </w:rPr>
            </w:pPr>
          </w:p>
        </w:tc>
        <w:tc>
          <w:tcPr>
            <w:tcW w:w="1760" w:type="dxa"/>
            <w:vAlign w:val="bottom"/>
            <w:shd w:val="clear" w:color="auto" w:fill="EFF4F6"/>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00" w:type="dxa"/>
            <w:vAlign w:val="bottom"/>
          </w:tcPr>
          <w:p>
            <w:pPr>
              <w:ind w:left="20"/>
              <w:spacing w:after="0"/>
              <w:rPr>
                <w:sz w:val="20"/>
                <w:szCs w:val="20"/>
                <w:color w:val="auto"/>
              </w:rPr>
            </w:pPr>
            <w:r>
              <w:rPr>
                <w:rFonts w:ascii="Arial" w:cs="Arial" w:eastAsia="Arial" w:hAnsi="Arial"/>
                <w:sz w:val="15"/>
                <w:szCs w:val="15"/>
                <w:b w:val="1"/>
                <w:bCs w:val="1"/>
                <w:color w:val="0E5D78"/>
              </w:rPr>
              <w:t>Éric Baclet</w:t>
            </w:r>
          </w:p>
        </w:tc>
        <w:tc>
          <w:tcPr>
            <w:tcW w:w="1880" w:type="dxa"/>
            <w:vAlign w:val="bottom"/>
            <w:vMerge w:val="restart"/>
          </w:tcPr>
          <w:p>
            <w:pPr>
              <w:jc w:val="center"/>
              <w:ind w:right="45"/>
              <w:spacing w:after="0"/>
              <w:rPr>
                <w:sz w:val="20"/>
                <w:szCs w:val="20"/>
                <w:color w:val="auto"/>
              </w:rPr>
            </w:pPr>
            <w:r>
              <w:rPr>
                <w:rFonts w:ascii="Arial" w:cs="Arial" w:eastAsia="Arial" w:hAnsi="Arial"/>
                <w:sz w:val="15"/>
                <w:szCs w:val="15"/>
                <w:color w:val="3C3C3B"/>
                <w:w w:val="92"/>
              </w:rPr>
              <w:t>Yes</w:t>
            </w:r>
          </w:p>
        </w:tc>
        <w:tc>
          <w:tcPr>
            <w:tcW w:w="1800" w:type="dxa"/>
            <w:vAlign w:val="bottom"/>
            <w:vMerge w:val="restart"/>
          </w:tcPr>
          <w:p>
            <w:pPr>
              <w:jc w:val="center"/>
              <w:ind w:right="5"/>
              <w:spacing w:after="0"/>
              <w:rPr>
                <w:sz w:val="20"/>
                <w:szCs w:val="20"/>
                <w:color w:val="auto"/>
              </w:rPr>
            </w:pPr>
            <w:r>
              <w:rPr>
                <w:rFonts w:ascii="Arial" w:cs="Arial" w:eastAsia="Arial" w:hAnsi="Arial"/>
                <w:sz w:val="15"/>
                <w:szCs w:val="15"/>
                <w:color w:val="3C3C3B"/>
              </w:rPr>
              <w:t>Member</w:t>
            </w:r>
          </w:p>
        </w:tc>
        <w:tc>
          <w:tcPr>
            <w:tcW w:w="1760" w:type="dxa"/>
            <w:vAlign w:val="bottom"/>
            <w:vMerge w:val="restart"/>
          </w:tcPr>
          <w:p>
            <w:pPr>
              <w:jc w:val="center"/>
              <w:spacing w:after="0"/>
              <w:rPr>
                <w:sz w:val="20"/>
                <w:szCs w:val="20"/>
                <w:color w:val="auto"/>
              </w:rPr>
            </w:pPr>
            <w:r>
              <w:rPr>
                <w:rFonts w:ascii="Arial" w:cs="Arial" w:eastAsia="Arial" w:hAnsi="Arial"/>
                <w:sz w:val="15"/>
                <w:szCs w:val="15"/>
                <w:b w:val="1"/>
                <w:bCs w:val="1"/>
                <w:color w:val="3C3C3B"/>
              </w:rPr>
              <w:t>Chairman</w:t>
            </w:r>
          </w:p>
        </w:tc>
        <w:tc>
          <w:tcPr>
            <w:tcW w:w="20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2000" w:type="dxa"/>
            <w:vAlign w:val="bottom"/>
            <w:vMerge w:val="restart"/>
          </w:tcPr>
          <w:p>
            <w:pPr>
              <w:ind w:left="20"/>
              <w:spacing w:after="0"/>
              <w:rPr>
                <w:sz w:val="20"/>
                <w:szCs w:val="20"/>
                <w:color w:val="auto"/>
              </w:rPr>
            </w:pPr>
            <w:r>
              <w:rPr>
                <w:rFonts w:ascii="Arial" w:cs="Arial" w:eastAsia="Arial" w:hAnsi="Arial"/>
                <w:sz w:val="15"/>
                <w:szCs w:val="15"/>
                <w:color w:val="3C3C3B"/>
              </w:rPr>
              <w:t>Vice-Chairman of the Board</w:t>
            </w:r>
          </w:p>
        </w:tc>
        <w:tc>
          <w:tcPr>
            <w:tcW w:w="1880" w:type="dxa"/>
            <w:vAlign w:val="bottom"/>
            <w:vMerge w:val="continue"/>
          </w:tcPr>
          <w:p>
            <w:pPr>
              <w:spacing w:after="0"/>
              <w:rPr>
                <w:sz w:val="8"/>
                <w:szCs w:val="8"/>
                <w:color w:val="auto"/>
              </w:rPr>
            </w:pPr>
          </w:p>
        </w:tc>
        <w:tc>
          <w:tcPr>
            <w:tcW w:w="180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20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00" w:type="dxa"/>
            <w:vAlign w:val="bottom"/>
            <w:vMerge w:val="continue"/>
          </w:tcPr>
          <w:p>
            <w:pPr>
              <w:spacing w:after="0"/>
              <w:rPr>
                <w:sz w:val="9"/>
                <w:szCs w:val="9"/>
                <w:color w:val="auto"/>
              </w:rPr>
            </w:pPr>
          </w:p>
        </w:tc>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00" w:type="dxa"/>
            <w:vAlign w:val="bottom"/>
            <w:shd w:val="clear" w:color="auto" w:fill="EFF4F6"/>
          </w:tcPr>
          <w:p>
            <w:pPr>
              <w:ind w:left="20"/>
              <w:spacing w:after="0"/>
              <w:rPr>
                <w:sz w:val="20"/>
                <w:szCs w:val="20"/>
                <w:color w:val="auto"/>
              </w:rPr>
            </w:pPr>
            <w:r>
              <w:rPr>
                <w:rFonts w:ascii="Arial" w:cs="Arial" w:eastAsia="Arial" w:hAnsi="Arial"/>
                <w:sz w:val="15"/>
                <w:szCs w:val="15"/>
                <w:b w:val="1"/>
                <w:bCs w:val="1"/>
                <w:color w:val="0E5D78"/>
              </w:rPr>
              <w:t>Florence Séjourné</w:t>
            </w:r>
          </w:p>
        </w:tc>
        <w:tc>
          <w:tcPr>
            <w:tcW w:w="1880" w:type="dxa"/>
            <w:vAlign w:val="bottom"/>
            <w:shd w:val="clear" w:color="auto" w:fill="EFF4F6"/>
          </w:tcPr>
          <w:p>
            <w:pPr>
              <w:spacing w:after="0"/>
              <w:rPr>
                <w:sz w:val="17"/>
                <w:szCs w:val="17"/>
                <w:color w:val="auto"/>
              </w:rPr>
            </w:pPr>
          </w:p>
        </w:tc>
        <w:tc>
          <w:tcPr>
            <w:tcW w:w="1800" w:type="dxa"/>
            <w:vAlign w:val="bottom"/>
            <w:shd w:val="clear" w:color="auto" w:fill="EFF4F6"/>
          </w:tcPr>
          <w:p>
            <w:pPr>
              <w:spacing w:after="0"/>
              <w:rPr>
                <w:sz w:val="17"/>
                <w:szCs w:val="17"/>
                <w:color w:val="auto"/>
              </w:rPr>
            </w:pPr>
          </w:p>
        </w:tc>
        <w:tc>
          <w:tcPr>
            <w:tcW w:w="1760" w:type="dxa"/>
            <w:vAlign w:val="bottom"/>
            <w:shd w:val="clear" w:color="auto" w:fill="EFF4F6"/>
          </w:tcPr>
          <w:p>
            <w:pPr>
              <w:spacing w:after="0"/>
              <w:rPr>
                <w:sz w:val="17"/>
                <w:szCs w:val="17"/>
                <w:color w:val="auto"/>
              </w:rPr>
            </w:pPr>
          </w:p>
        </w:tc>
        <w:tc>
          <w:tcPr>
            <w:tcW w:w="2020" w:type="dxa"/>
            <w:vAlign w:val="bottom"/>
            <w:shd w:val="clear" w:color="auto" w:fill="EFF4F6"/>
          </w:tcPr>
          <w:p>
            <w:pPr>
              <w:spacing w:after="0"/>
              <w:rPr>
                <w:sz w:val="17"/>
                <w:szCs w:val="17"/>
                <w:color w:val="auto"/>
              </w:rPr>
            </w:pPr>
          </w:p>
        </w:tc>
        <w:tc>
          <w:tcPr>
            <w:tcW w:w="1760" w:type="dxa"/>
            <w:vAlign w:val="bottom"/>
            <w:shd w:val="clear" w:color="auto" w:fill="EFF4F6"/>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00" w:type="dxa"/>
            <w:vAlign w:val="bottom"/>
            <w:shd w:val="clear" w:color="auto" w:fill="EFF4F6"/>
          </w:tcPr>
          <w:p>
            <w:pPr>
              <w:ind w:left="20"/>
              <w:spacing w:after="0"/>
              <w:rPr>
                <w:sz w:val="20"/>
                <w:szCs w:val="20"/>
                <w:color w:val="auto"/>
              </w:rPr>
            </w:pPr>
            <w:r>
              <w:rPr>
                <w:rFonts w:ascii="Arial" w:cs="Arial" w:eastAsia="Arial" w:hAnsi="Arial"/>
                <w:sz w:val="15"/>
                <w:szCs w:val="15"/>
                <w:color w:val="3C3C3B"/>
              </w:rPr>
              <w:t>(representative of Biotech</w:t>
            </w:r>
          </w:p>
        </w:tc>
        <w:tc>
          <w:tcPr>
            <w:tcW w:w="1880" w:type="dxa"/>
            <w:vAlign w:val="bottom"/>
            <w:vMerge w:val="restart"/>
            <w:shd w:val="clear" w:color="auto" w:fill="EFF4F6"/>
          </w:tcPr>
          <w:p>
            <w:pPr>
              <w:jc w:val="center"/>
              <w:ind w:right="45"/>
              <w:spacing w:after="0"/>
              <w:rPr>
                <w:sz w:val="20"/>
                <w:szCs w:val="20"/>
                <w:color w:val="auto"/>
              </w:rPr>
            </w:pPr>
            <w:r>
              <w:rPr>
                <w:rFonts w:ascii="Arial" w:cs="Arial" w:eastAsia="Arial" w:hAnsi="Arial"/>
                <w:sz w:val="15"/>
                <w:szCs w:val="15"/>
                <w:color w:val="3C3C3B"/>
              </w:rPr>
              <w:t>No</w:t>
            </w:r>
          </w:p>
        </w:tc>
        <w:tc>
          <w:tcPr>
            <w:tcW w:w="1800" w:type="dxa"/>
            <w:vAlign w:val="bottom"/>
            <w:shd w:val="clear" w:color="auto" w:fill="EFF4F6"/>
          </w:tcPr>
          <w:p>
            <w:pPr>
              <w:spacing w:after="0"/>
              <w:rPr>
                <w:sz w:val="16"/>
                <w:szCs w:val="16"/>
                <w:color w:val="auto"/>
              </w:rPr>
            </w:pPr>
          </w:p>
        </w:tc>
        <w:tc>
          <w:tcPr>
            <w:tcW w:w="1760" w:type="dxa"/>
            <w:vAlign w:val="bottom"/>
            <w:shd w:val="clear" w:color="auto" w:fill="EFF4F6"/>
          </w:tcPr>
          <w:p>
            <w:pPr>
              <w:spacing w:after="0"/>
              <w:rPr>
                <w:sz w:val="16"/>
                <w:szCs w:val="16"/>
                <w:color w:val="auto"/>
              </w:rPr>
            </w:pPr>
          </w:p>
        </w:tc>
        <w:tc>
          <w:tcPr>
            <w:tcW w:w="2020" w:type="dxa"/>
            <w:vAlign w:val="bottom"/>
            <w:shd w:val="clear" w:color="auto" w:fill="EFF4F6"/>
          </w:tcPr>
          <w:p>
            <w:pPr>
              <w:spacing w:after="0"/>
              <w:rPr>
                <w:sz w:val="16"/>
                <w:szCs w:val="16"/>
                <w:color w:val="auto"/>
              </w:rPr>
            </w:pPr>
          </w:p>
        </w:tc>
        <w:tc>
          <w:tcPr>
            <w:tcW w:w="1760" w:type="dxa"/>
            <w:vAlign w:val="bottom"/>
            <w:shd w:val="clear" w:color="auto" w:fill="EFF4F6"/>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00" w:type="dxa"/>
            <w:vAlign w:val="bottom"/>
            <w:vMerge w:val="restart"/>
            <w:shd w:val="clear" w:color="auto" w:fill="EFF4F6"/>
          </w:tcPr>
          <w:p>
            <w:pPr>
              <w:ind w:left="20"/>
              <w:spacing w:after="0"/>
              <w:rPr>
                <w:sz w:val="20"/>
                <w:szCs w:val="20"/>
                <w:color w:val="auto"/>
              </w:rPr>
            </w:pPr>
            <w:r>
              <w:rPr>
                <w:rFonts w:ascii="Arial" w:cs="Arial" w:eastAsia="Arial" w:hAnsi="Arial"/>
                <w:sz w:val="15"/>
                <w:szCs w:val="15"/>
                <w:color w:val="3C3C3B"/>
              </w:rPr>
              <w:t>Avenir SAS)</w:t>
            </w:r>
          </w:p>
        </w:tc>
        <w:tc>
          <w:tcPr>
            <w:tcW w:w="1880" w:type="dxa"/>
            <w:vAlign w:val="bottom"/>
            <w:vMerge w:val="continue"/>
            <w:shd w:val="clear" w:color="auto" w:fill="EFF4F6"/>
          </w:tcPr>
          <w:p>
            <w:pPr>
              <w:spacing w:after="0"/>
              <w:rPr>
                <w:sz w:val="7"/>
                <w:szCs w:val="7"/>
                <w:color w:val="auto"/>
              </w:rPr>
            </w:pPr>
          </w:p>
        </w:tc>
        <w:tc>
          <w:tcPr>
            <w:tcW w:w="1800" w:type="dxa"/>
            <w:vAlign w:val="bottom"/>
            <w:shd w:val="clear" w:color="auto" w:fill="EFF4F6"/>
          </w:tcPr>
          <w:p>
            <w:pPr>
              <w:spacing w:after="0"/>
              <w:rPr>
                <w:sz w:val="7"/>
                <w:szCs w:val="7"/>
                <w:color w:val="auto"/>
              </w:rPr>
            </w:pPr>
          </w:p>
        </w:tc>
        <w:tc>
          <w:tcPr>
            <w:tcW w:w="1760" w:type="dxa"/>
            <w:vAlign w:val="bottom"/>
            <w:shd w:val="clear" w:color="auto" w:fill="EFF4F6"/>
          </w:tcPr>
          <w:p>
            <w:pPr>
              <w:spacing w:after="0"/>
              <w:rPr>
                <w:sz w:val="7"/>
                <w:szCs w:val="7"/>
                <w:color w:val="auto"/>
              </w:rPr>
            </w:pPr>
          </w:p>
        </w:tc>
        <w:tc>
          <w:tcPr>
            <w:tcW w:w="2020" w:type="dxa"/>
            <w:vAlign w:val="bottom"/>
            <w:shd w:val="clear" w:color="auto" w:fill="EFF4F6"/>
          </w:tcPr>
          <w:p>
            <w:pPr>
              <w:spacing w:after="0"/>
              <w:rPr>
                <w:sz w:val="7"/>
                <w:szCs w:val="7"/>
                <w:color w:val="auto"/>
              </w:rPr>
            </w:pPr>
          </w:p>
        </w:tc>
        <w:tc>
          <w:tcPr>
            <w:tcW w:w="1760" w:type="dxa"/>
            <w:vAlign w:val="bottom"/>
            <w:shd w:val="clear" w:color="auto" w:fill="EFF4F6"/>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00" w:type="dxa"/>
            <w:vAlign w:val="bottom"/>
            <w:vMerge w:val="continue"/>
            <w:shd w:val="clear" w:color="auto" w:fill="EFF4F6"/>
          </w:tcPr>
          <w:p>
            <w:pPr>
              <w:spacing w:after="0"/>
              <w:rPr>
                <w:sz w:val="6"/>
                <w:szCs w:val="6"/>
                <w:color w:val="auto"/>
              </w:rPr>
            </w:pPr>
          </w:p>
        </w:tc>
        <w:tc>
          <w:tcPr>
            <w:tcW w:w="1880" w:type="dxa"/>
            <w:vAlign w:val="bottom"/>
            <w:shd w:val="clear" w:color="auto" w:fill="EFF4F6"/>
          </w:tcPr>
          <w:p>
            <w:pPr>
              <w:spacing w:after="0"/>
              <w:rPr>
                <w:sz w:val="6"/>
                <w:szCs w:val="6"/>
                <w:color w:val="auto"/>
              </w:rPr>
            </w:pPr>
          </w:p>
        </w:tc>
        <w:tc>
          <w:tcPr>
            <w:tcW w:w="1800" w:type="dxa"/>
            <w:vAlign w:val="bottom"/>
            <w:shd w:val="clear" w:color="auto" w:fill="EFF4F6"/>
          </w:tcPr>
          <w:p>
            <w:pPr>
              <w:spacing w:after="0"/>
              <w:rPr>
                <w:sz w:val="6"/>
                <w:szCs w:val="6"/>
                <w:color w:val="auto"/>
              </w:rPr>
            </w:pPr>
          </w:p>
        </w:tc>
        <w:tc>
          <w:tcPr>
            <w:tcW w:w="1760" w:type="dxa"/>
            <w:vAlign w:val="bottom"/>
            <w:shd w:val="clear" w:color="auto" w:fill="EFF4F6"/>
          </w:tcPr>
          <w:p>
            <w:pPr>
              <w:spacing w:after="0"/>
              <w:rPr>
                <w:sz w:val="6"/>
                <w:szCs w:val="6"/>
                <w:color w:val="auto"/>
              </w:rPr>
            </w:pPr>
          </w:p>
        </w:tc>
        <w:tc>
          <w:tcPr>
            <w:tcW w:w="2020" w:type="dxa"/>
            <w:vAlign w:val="bottom"/>
            <w:shd w:val="clear" w:color="auto" w:fill="EFF4F6"/>
          </w:tcPr>
          <w:p>
            <w:pPr>
              <w:spacing w:after="0"/>
              <w:rPr>
                <w:sz w:val="6"/>
                <w:szCs w:val="6"/>
                <w:color w:val="auto"/>
              </w:rPr>
            </w:pPr>
          </w:p>
        </w:tc>
        <w:tc>
          <w:tcPr>
            <w:tcW w:w="1760" w:type="dxa"/>
            <w:vAlign w:val="bottom"/>
            <w:shd w:val="clear" w:color="auto" w:fill="EFF4F6"/>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EFF4F6"/>
          </w:tcPr>
          <w:p>
            <w:pPr>
              <w:ind w:left="20"/>
              <w:spacing w:after="0"/>
              <w:rPr>
                <w:sz w:val="20"/>
                <w:szCs w:val="20"/>
                <w:color w:val="auto"/>
              </w:rPr>
            </w:pPr>
            <w:r>
              <w:rPr>
                <w:rFonts w:ascii="Arial" w:cs="Arial" w:eastAsia="Arial" w:hAnsi="Arial"/>
                <w:sz w:val="15"/>
                <w:szCs w:val="15"/>
                <w:color w:val="3C3C3B"/>
              </w:rPr>
              <w:t>Director</w:t>
            </w:r>
          </w:p>
        </w:tc>
        <w:tc>
          <w:tcPr>
            <w:tcW w:w="1880" w:type="dxa"/>
            <w:vAlign w:val="bottom"/>
            <w:shd w:val="clear" w:color="auto" w:fill="EFF4F6"/>
          </w:tcPr>
          <w:p>
            <w:pPr>
              <w:spacing w:after="0"/>
              <w:rPr>
                <w:sz w:val="18"/>
                <w:szCs w:val="18"/>
                <w:color w:val="auto"/>
              </w:rPr>
            </w:pPr>
          </w:p>
        </w:tc>
        <w:tc>
          <w:tcPr>
            <w:tcW w:w="1800" w:type="dxa"/>
            <w:vAlign w:val="bottom"/>
            <w:shd w:val="clear" w:color="auto" w:fill="EFF4F6"/>
          </w:tcPr>
          <w:p>
            <w:pPr>
              <w:spacing w:after="0"/>
              <w:rPr>
                <w:sz w:val="18"/>
                <w:szCs w:val="18"/>
                <w:color w:val="auto"/>
              </w:rPr>
            </w:pPr>
          </w:p>
        </w:tc>
        <w:tc>
          <w:tcPr>
            <w:tcW w:w="1760" w:type="dxa"/>
            <w:vAlign w:val="bottom"/>
            <w:shd w:val="clear" w:color="auto" w:fill="EFF4F6"/>
          </w:tcPr>
          <w:p>
            <w:pPr>
              <w:spacing w:after="0"/>
              <w:rPr>
                <w:sz w:val="18"/>
                <w:szCs w:val="18"/>
                <w:color w:val="auto"/>
              </w:rPr>
            </w:pPr>
          </w:p>
        </w:tc>
        <w:tc>
          <w:tcPr>
            <w:tcW w:w="2020" w:type="dxa"/>
            <w:vAlign w:val="bottom"/>
            <w:shd w:val="clear" w:color="auto" w:fill="EFF4F6"/>
          </w:tcPr>
          <w:p>
            <w:pPr>
              <w:spacing w:after="0"/>
              <w:rPr>
                <w:sz w:val="18"/>
                <w:szCs w:val="18"/>
                <w:color w:val="auto"/>
              </w:rPr>
            </w:pPr>
          </w:p>
        </w:tc>
        <w:tc>
          <w:tcPr>
            <w:tcW w:w="1760" w:type="dxa"/>
            <w:vAlign w:val="bottom"/>
            <w:shd w:val="clear" w:color="auto" w:fill="EFF4F6"/>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00" w:type="dxa"/>
            <w:vAlign w:val="bottom"/>
          </w:tcPr>
          <w:p>
            <w:pPr>
              <w:ind w:left="20"/>
              <w:spacing w:after="0"/>
              <w:rPr>
                <w:sz w:val="20"/>
                <w:szCs w:val="20"/>
                <w:color w:val="auto"/>
              </w:rPr>
            </w:pPr>
            <w:r>
              <w:rPr>
                <w:rFonts w:ascii="Arial" w:cs="Arial" w:eastAsia="Arial" w:hAnsi="Arial"/>
                <w:sz w:val="15"/>
                <w:szCs w:val="15"/>
                <w:b w:val="1"/>
                <w:bCs w:val="1"/>
                <w:color w:val="0E5D78"/>
              </w:rPr>
              <w:t>Sandra Silvestri</w:t>
            </w:r>
          </w:p>
        </w:tc>
        <w:tc>
          <w:tcPr>
            <w:tcW w:w="1880" w:type="dxa"/>
            <w:vAlign w:val="bottom"/>
            <w:vMerge w:val="restart"/>
          </w:tcPr>
          <w:p>
            <w:pPr>
              <w:jc w:val="center"/>
              <w:ind w:right="45"/>
              <w:spacing w:after="0"/>
              <w:rPr>
                <w:sz w:val="20"/>
                <w:szCs w:val="20"/>
                <w:color w:val="auto"/>
              </w:rPr>
            </w:pPr>
            <w:r>
              <w:rPr>
                <w:rFonts w:ascii="Arial" w:cs="Arial" w:eastAsia="Arial" w:hAnsi="Arial"/>
                <w:sz w:val="15"/>
                <w:szCs w:val="15"/>
                <w:color w:val="3C3C3B"/>
              </w:rPr>
              <w:t>No</w:t>
            </w:r>
          </w:p>
        </w:tc>
        <w:tc>
          <w:tcPr>
            <w:tcW w:w="1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Arial" w:cs="Arial" w:eastAsia="Arial" w:hAnsi="Arial"/>
                <w:sz w:val="15"/>
                <w:szCs w:val="15"/>
                <w:color w:val="3C3C3B"/>
              </w:rPr>
              <w:t>(representative of IPSEN)</w:t>
            </w:r>
          </w:p>
        </w:tc>
        <w:tc>
          <w:tcPr>
            <w:tcW w:w="1880" w:type="dxa"/>
            <w:vAlign w:val="bottom"/>
            <w:vMerge w:val="continue"/>
          </w:tcPr>
          <w:p>
            <w:pPr>
              <w:spacing w:after="0"/>
              <w:rPr>
                <w:sz w:val="16"/>
                <w:szCs w:val="16"/>
                <w:color w:val="auto"/>
              </w:rPr>
            </w:pPr>
          </w:p>
        </w:tc>
        <w:tc>
          <w:tcPr>
            <w:tcW w:w="1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00" w:type="dxa"/>
            <w:vAlign w:val="bottom"/>
          </w:tcPr>
          <w:p>
            <w:pPr>
              <w:ind w:left="20"/>
              <w:spacing w:after="0"/>
              <w:rPr>
                <w:sz w:val="20"/>
                <w:szCs w:val="20"/>
                <w:color w:val="auto"/>
              </w:rPr>
            </w:pPr>
            <w:r>
              <w:rPr>
                <w:rFonts w:ascii="Arial" w:cs="Arial" w:eastAsia="Arial" w:hAnsi="Arial"/>
                <w:sz w:val="15"/>
                <w:szCs w:val="15"/>
                <w:color w:val="3C3C3B"/>
              </w:rPr>
              <w:t>Director</w:t>
            </w:r>
          </w:p>
        </w:tc>
        <w:tc>
          <w:tcPr>
            <w:tcW w:w="18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00" w:type="dxa"/>
            <w:vAlign w:val="bottom"/>
            <w:shd w:val="clear" w:color="auto" w:fill="EFF4F6"/>
          </w:tcPr>
          <w:p>
            <w:pPr>
              <w:ind w:left="20"/>
              <w:spacing w:after="0"/>
              <w:rPr>
                <w:sz w:val="20"/>
                <w:szCs w:val="20"/>
                <w:color w:val="auto"/>
              </w:rPr>
            </w:pPr>
            <w:r>
              <w:rPr>
                <w:rFonts w:ascii="Arial" w:cs="Arial" w:eastAsia="Arial" w:hAnsi="Arial"/>
                <w:sz w:val="15"/>
                <w:szCs w:val="15"/>
                <w:b w:val="1"/>
                <w:bCs w:val="1"/>
                <w:color w:val="0E5D78"/>
              </w:rPr>
              <w:t>Katherine Kalin</w:t>
            </w:r>
          </w:p>
        </w:tc>
        <w:tc>
          <w:tcPr>
            <w:tcW w:w="1880" w:type="dxa"/>
            <w:vAlign w:val="bottom"/>
            <w:vMerge w:val="restart"/>
            <w:shd w:val="clear" w:color="auto" w:fill="EFF4F6"/>
          </w:tcPr>
          <w:p>
            <w:pPr>
              <w:jc w:val="center"/>
              <w:ind w:right="45"/>
              <w:spacing w:after="0"/>
              <w:rPr>
                <w:sz w:val="20"/>
                <w:szCs w:val="20"/>
                <w:color w:val="auto"/>
              </w:rPr>
            </w:pPr>
            <w:r>
              <w:rPr>
                <w:rFonts w:ascii="Arial" w:cs="Arial" w:eastAsia="Arial" w:hAnsi="Arial"/>
                <w:sz w:val="15"/>
                <w:szCs w:val="15"/>
                <w:color w:val="3C3C3B"/>
                <w:w w:val="92"/>
              </w:rPr>
              <w:t>Yes</w:t>
            </w:r>
          </w:p>
        </w:tc>
        <w:tc>
          <w:tcPr>
            <w:tcW w:w="1800" w:type="dxa"/>
            <w:vAlign w:val="bottom"/>
            <w:shd w:val="clear" w:color="auto" w:fill="EFF4F6"/>
          </w:tcPr>
          <w:p>
            <w:pPr>
              <w:spacing w:after="0"/>
              <w:rPr>
                <w:sz w:val="17"/>
                <w:szCs w:val="17"/>
                <w:color w:val="auto"/>
              </w:rPr>
            </w:pPr>
          </w:p>
        </w:tc>
        <w:tc>
          <w:tcPr>
            <w:tcW w:w="1760" w:type="dxa"/>
            <w:vAlign w:val="bottom"/>
            <w:shd w:val="clear" w:color="auto" w:fill="EFF4F6"/>
          </w:tcPr>
          <w:p>
            <w:pPr>
              <w:spacing w:after="0"/>
              <w:rPr>
                <w:sz w:val="17"/>
                <w:szCs w:val="17"/>
                <w:color w:val="auto"/>
              </w:rPr>
            </w:pPr>
          </w:p>
        </w:tc>
        <w:tc>
          <w:tcPr>
            <w:tcW w:w="2020" w:type="dxa"/>
            <w:vAlign w:val="bottom"/>
            <w:vMerge w:val="restart"/>
            <w:shd w:val="clear" w:color="auto" w:fill="EFF4F6"/>
          </w:tcPr>
          <w:p>
            <w:pPr>
              <w:jc w:val="center"/>
              <w:spacing w:after="0"/>
              <w:rPr>
                <w:sz w:val="20"/>
                <w:szCs w:val="20"/>
                <w:color w:val="auto"/>
              </w:rPr>
            </w:pPr>
            <w:r>
              <w:rPr>
                <w:rFonts w:ascii="Arial" w:cs="Arial" w:eastAsia="Arial" w:hAnsi="Arial"/>
                <w:sz w:val="15"/>
                <w:szCs w:val="15"/>
                <w:color w:val="3C3C3B"/>
                <w:w w:val="98"/>
              </w:rPr>
              <w:t>Member</w:t>
            </w:r>
          </w:p>
        </w:tc>
        <w:tc>
          <w:tcPr>
            <w:tcW w:w="1760" w:type="dxa"/>
            <w:vAlign w:val="bottom"/>
            <w:vMerge w:val="restart"/>
            <w:shd w:val="clear" w:color="auto" w:fill="EFF4F6"/>
          </w:tcPr>
          <w:p>
            <w:pPr>
              <w:jc w:val="center"/>
              <w:ind w:right="5"/>
              <w:spacing w:after="0"/>
              <w:rPr>
                <w:sz w:val="20"/>
                <w:szCs w:val="20"/>
                <w:color w:val="auto"/>
              </w:rPr>
            </w:pPr>
            <w:r>
              <w:rPr>
                <w:rFonts w:ascii="Arial" w:cs="Arial" w:eastAsia="Arial" w:hAnsi="Arial"/>
                <w:sz w:val="15"/>
                <w:szCs w:val="15"/>
                <w:color w:val="3C3C3B"/>
              </w:rPr>
              <w:t>Member</w:t>
            </w:r>
          </w:p>
        </w:tc>
        <w:tc>
          <w:tcPr>
            <w:tcW w:w="0" w:type="dxa"/>
            <w:vAlign w:val="bottom"/>
          </w:tcPr>
          <w:p>
            <w:pPr>
              <w:spacing w:after="0"/>
              <w:rPr>
                <w:sz w:val="1"/>
                <w:szCs w:val="1"/>
                <w:color w:val="auto"/>
              </w:rPr>
            </w:pPr>
          </w:p>
        </w:tc>
      </w:tr>
      <w:tr>
        <w:trPr>
          <w:trHeight w:val="92"/>
        </w:trPr>
        <w:tc>
          <w:tcPr>
            <w:tcW w:w="2000" w:type="dxa"/>
            <w:vAlign w:val="bottom"/>
            <w:vMerge w:val="restart"/>
            <w:shd w:val="clear" w:color="auto" w:fill="EFF4F6"/>
          </w:tcPr>
          <w:p>
            <w:pPr>
              <w:ind w:left="20"/>
              <w:spacing w:after="0"/>
              <w:rPr>
                <w:sz w:val="20"/>
                <w:szCs w:val="20"/>
                <w:color w:val="auto"/>
              </w:rPr>
            </w:pPr>
            <w:r>
              <w:rPr>
                <w:rFonts w:ascii="Arial" w:cs="Arial" w:eastAsia="Arial" w:hAnsi="Arial"/>
                <w:sz w:val="15"/>
                <w:szCs w:val="15"/>
                <w:color w:val="3C3C3B"/>
              </w:rPr>
              <w:t>Director</w:t>
            </w:r>
          </w:p>
        </w:tc>
        <w:tc>
          <w:tcPr>
            <w:tcW w:w="1880" w:type="dxa"/>
            <w:vAlign w:val="bottom"/>
            <w:vMerge w:val="continue"/>
            <w:shd w:val="clear" w:color="auto" w:fill="EFF4F6"/>
          </w:tcPr>
          <w:p>
            <w:pPr>
              <w:spacing w:after="0"/>
              <w:rPr>
                <w:sz w:val="7"/>
                <w:szCs w:val="7"/>
                <w:color w:val="auto"/>
              </w:rPr>
            </w:pPr>
          </w:p>
        </w:tc>
        <w:tc>
          <w:tcPr>
            <w:tcW w:w="1800" w:type="dxa"/>
            <w:vAlign w:val="bottom"/>
            <w:shd w:val="clear" w:color="auto" w:fill="EFF4F6"/>
          </w:tcPr>
          <w:p>
            <w:pPr>
              <w:spacing w:after="0"/>
              <w:rPr>
                <w:sz w:val="7"/>
                <w:szCs w:val="7"/>
                <w:color w:val="auto"/>
              </w:rPr>
            </w:pPr>
          </w:p>
        </w:tc>
        <w:tc>
          <w:tcPr>
            <w:tcW w:w="1760" w:type="dxa"/>
            <w:vAlign w:val="bottom"/>
            <w:shd w:val="clear" w:color="auto" w:fill="EFF4F6"/>
          </w:tcPr>
          <w:p>
            <w:pPr>
              <w:spacing w:after="0"/>
              <w:rPr>
                <w:sz w:val="7"/>
                <w:szCs w:val="7"/>
                <w:color w:val="auto"/>
              </w:rPr>
            </w:pPr>
          </w:p>
        </w:tc>
        <w:tc>
          <w:tcPr>
            <w:tcW w:w="2020" w:type="dxa"/>
            <w:vAlign w:val="bottom"/>
            <w:vMerge w:val="continue"/>
            <w:shd w:val="clear" w:color="auto" w:fill="EFF4F6"/>
          </w:tcPr>
          <w:p>
            <w:pPr>
              <w:spacing w:after="0"/>
              <w:rPr>
                <w:sz w:val="7"/>
                <w:szCs w:val="7"/>
                <w:color w:val="auto"/>
              </w:rPr>
            </w:pPr>
          </w:p>
        </w:tc>
        <w:tc>
          <w:tcPr>
            <w:tcW w:w="1760" w:type="dxa"/>
            <w:vAlign w:val="bottom"/>
            <w:vMerge w:val="continue"/>
            <w:shd w:val="clear" w:color="auto" w:fill="EFF4F6"/>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00" w:type="dxa"/>
            <w:vAlign w:val="bottom"/>
            <w:vMerge w:val="continue"/>
            <w:shd w:val="clear" w:color="auto" w:fill="EFF4F6"/>
          </w:tcPr>
          <w:p>
            <w:pPr>
              <w:spacing w:after="0"/>
              <w:rPr>
                <w:sz w:val="10"/>
                <w:szCs w:val="10"/>
                <w:color w:val="auto"/>
              </w:rPr>
            </w:pPr>
          </w:p>
        </w:tc>
        <w:tc>
          <w:tcPr>
            <w:tcW w:w="1880" w:type="dxa"/>
            <w:vAlign w:val="bottom"/>
            <w:shd w:val="clear" w:color="auto" w:fill="EFF4F6"/>
          </w:tcPr>
          <w:p>
            <w:pPr>
              <w:spacing w:after="0"/>
              <w:rPr>
                <w:sz w:val="10"/>
                <w:szCs w:val="10"/>
                <w:color w:val="auto"/>
              </w:rPr>
            </w:pPr>
          </w:p>
        </w:tc>
        <w:tc>
          <w:tcPr>
            <w:tcW w:w="1800" w:type="dxa"/>
            <w:vAlign w:val="bottom"/>
            <w:shd w:val="clear" w:color="auto" w:fill="EFF4F6"/>
          </w:tcPr>
          <w:p>
            <w:pPr>
              <w:spacing w:after="0"/>
              <w:rPr>
                <w:sz w:val="10"/>
                <w:szCs w:val="10"/>
                <w:color w:val="auto"/>
              </w:rPr>
            </w:pPr>
          </w:p>
        </w:tc>
        <w:tc>
          <w:tcPr>
            <w:tcW w:w="1760" w:type="dxa"/>
            <w:vAlign w:val="bottom"/>
            <w:shd w:val="clear" w:color="auto" w:fill="EFF4F6"/>
          </w:tcPr>
          <w:p>
            <w:pPr>
              <w:spacing w:after="0"/>
              <w:rPr>
                <w:sz w:val="10"/>
                <w:szCs w:val="10"/>
                <w:color w:val="auto"/>
              </w:rPr>
            </w:pPr>
          </w:p>
        </w:tc>
        <w:tc>
          <w:tcPr>
            <w:tcW w:w="2020" w:type="dxa"/>
            <w:vAlign w:val="bottom"/>
            <w:shd w:val="clear" w:color="auto" w:fill="EFF4F6"/>
          </w:tcPr>
          <w:p>
            <w:pPr>
              <w:spacing w:after="0"/>
              <w:rPr>
                <w:sz w:val="10"/>
                <w:szCs w:val="10"/>
                <w:color w:val="auto"/>
              </w:rPr>
            </w:pPr>
          </w:p>
        </w:tc>
        <w:tc>
          <w:tcPr>
            <w:tcW w:w="1760" w:type="dxa"/>
            <w:vAlign w:val="bottom"/>
            <w:shd w:val="clear" w:color="auto" w:fill="EFF4F6"/>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00" w:type="dxa"/>
            <w:vAlign w:val="bottom"/>
          </w:tcPr>
          <w:p>
            <w:pPr>
              <w:ind w:left="20"/>
              <w:spacing w:after="0"/>
              <w:rPr>
                <w:sz w:val="20"/>
                <w:szCs w:val="20"/>
                <w:color w:val="auto"/>
              </w:rPr>
            </w:pPr>
            <w:r>
              <w:rPr>
                <w:rFonts w:ascii="Arial" w:cs="Arial" w:eastAsia="Arial" w:hAnsi="Arial"/>
                <w:sz w:val="15"/>
                <w:szCs w:val="15"/>
                <w:b w:val="1"/>
                <w:bCs w:val="1"/>
                <w:color w:val="0E5D78"/>
              </w:rPr>
              <w:t>Catherine Larue</w:t>
            </w:r>
          </w:p>
        </w:tc>
        <w:tc>
          <w:tcPr>
            <w:tcW w:w="1880" w:type="dxa"/>
            <w:vAlign w:val="bottom"/>
            <w:vMerge w:val="restart"/>
          </w:tcPr>
          <w:p>
            <w:pPr>
              <w:jc w:val="center"/>
              <w:ind w:right="45"/>
              <w:spacing w:after="0"/>
              <w:rPr>
                <w:sz w:val="20"/>
                <w:szCs w:val="20"/>
                <w:color w:val="auto"/>
              </w:rPr>
            </w:pPr>
            <w:r>
              <w:rPr>
                <w:rFonts w:ascii="Arial" w:cs="Arial" w:eastAsia="Arial" w:hAnsi="Arial"/>
                <w:sz w:val="15"/>
                <w:szCs w:val="15"/>
                <w:color w:val="3C3C3B"/>
                <w:w w:val="92"/>
              </w:rPr>
              <w:t>Yes</w:t>
            </w:r>
          </w:p>
        </w:tc>
        <w:tc>
          <w:tcPr>
            <w:tcW w:w="1800" w:type="dxa"/>
            <w:vAlign w:val="bottom"/>
          </w:tcPr>
          <w:p>
            <w:pPr>
              <w:spacing w:after="0"/>
              <w:rPr>
                <w:sz w:val="16"/>
                <w:szCs w:val="16"/>
                <w:color w:val="auto"/>
              </w:rPr>
            </w:pPr>
          </w:p>
        </w:tc>
        <w:tc>
          <w:tcPr>
            <w:tcW w:w="1760" w:type="dxa"/>
            <w:vAlign w:val="bottom"/>
            <w:vMerge w:val="restart"/>
          </w:tcPr>
          <w:p>
            <w:pPr>
              <w:jc w:val="center"/>
              <w:spacing w:after="0"/>
              <w:rPr>
                <w:sz w:val="20"/>
                <w:szCs w:val="20"/>
                <w:color w:val="auto"/>
              </w:rPr>
            </w:pPr>
            <w:r>
              <w:rPr>
                <w:rFonts w:ascii="Arial" w:cs="Arial" w:eastAsia="Arial" w:hAnsi="Arial"/>
                <w:sz w:val="15"/>
                <w:szCs w:val="15"/>
                <w:color w:val="3C3C3B"/>
                <w:w w:val="98"/>
              </w:rPr>
              <w:t>Member</w:t>
            </w:r>
          </w:p>
        </w:tc>
        <w:tc>
          <w:tcPr>
            <w:tcW w:w="2020" w:type="dxa"/>
            <w:vAlign w:val="bottom"/>
          </w:tcPr>
          <w:p>
            <w:pPr>
              <w:spacing w:after="0"/>
              <w:rPr>
                <w:sz w:val="16"/>
                <w:szCs w:val="16"/>
                <w:color w:val="auto"/>
              </w:rPr>
            </w:pPr>
          </w:p>
        </w:tc>
        <w:tc>
          <w:tcPr>
            <w:tcW w:w="1760" w:type="dxa"/>
            <w:vAlign w:val="bottom"/>
            <w:vMerge w:val="restart"/>
          </w:tcPr>
          <w:p>
            <w:pPr>
              <w:jc w:val="center"/>
              <w:ind w:right="5"/>
              <w:spacing w:after="0"/>
              <w:rPr>
                <w:sz w:val="20"/>
                <w:szCs w:val="20"/>
                <w:color w:val="auto"/>
              </w:rPr>
            </w:pPr>
            <w:r>
              <w:rPr>
                <w:rFonts w:ascii="Arial" w:cs="Arial" w:eastAsia="Arial" w:hAnsi="Arial"/>
                <w:sz w:val="15"/>
                <w:szCs w:val="15"/>
                <w:b w:val="1"/>
                <w:bCs w:val="1"/>
                <w:color w:val="3C3C3B"/>
                <w:w w:val="98"/>
              </w:rPr>
              <w:t>Chairman</w:t>
            </w:r>
          </w:p>
        </w:tc>
        <w:tc>
          <w:tcPr>
            <w:tcW w:w="0" w:type="dxa"/>
            <w:vAlign w:val="bottom"/>
          </w:tcPr>
          <w:p>
            <w:pPr>
              <w:spacing w:after="0"/>
              <w:rPr>
                <w:sz w:val="1"/>
                <w:szCs w:val="1"/>
                <w:color w:val="auto"/>
              </w:rPr>
            </w:pPr>
          </w:p>
        </w:tc>
      </w:tr>
      <w:tr>
        <w:trPr>
          <w:trHeight w:val="100"/>
        </w:trPr>
        <w:tc>
          <w:tcPr>
            <w:tcW w:w="2000" w:type="dxa"/>
            <w:vAlign w:val="bottom"/>
            <w:vMerge w:val="restart"/>
          </w:tcPr>
          <w:p>
            <w:pPr>
              <w:ind w:left="20"/>
              <w:spacing w:after="0"/>
              <w:rPr>
                <w:sz w:val="20"/>
                <w:szCs w:val="20"/>
                <w:color w:val="auto"/>
              </w:rPr>
            </w:pPr>
            <w:r>
              <w:rPr>
                <w:rFonts w:ascii="Arial" w:cs="Arial" w:eastAsia="Arial" w:hAnsi="Arial"/>
                <w:sz w:val="15"/>
                <w:szCs w:val="15"/>
                <w:color w:val="3C3C3B"/>
              </w:rPr>
              <w:t>Director</w:t>
            </w:r>
          </w:p>
        </w:tc>
        <w:tc>
          <w:tcPr>
            <w:tcW w:w="1880" w:type="dxa"/>
            <w:vAlign w:val="bottom"/>
            <w:vMerge w:val="continue"/>
          </w:tcPr>
          <w:p>
            <w:pPr>
              <w:spacing w:after="0"/>
              <w:rPr>
                <w:sz w:val="8"/>
                <w:szCs w:val="8"/>
                <w:color w:val="auto"/>
              </w:rPr>
            </w:pPr>
          </w:p>
        </w:tc>
        <w:tc>
          <w:tcPr>
            <w:tcW w:w="180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202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00" w:type="dxa"/>
            <w:vAlign w:val="bottom"/>
            <w:vMerge w:val="continue"/>
          </w:tcPr>
          <w:p>
            <w:pPr>
              <w:spacing w:after="0"/>
              <w:rPr>
                <w:sz w:val="9"/>
                <w:szCs w:val="9"/>
                <w:color w:val="auto"/>
              </w:rPr>
            </w:pPr>
          </w:p>
        </w:tc>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00" w:type="dxa"/>
            <w:vAlign w:val="bottom"/>
            <w:shd w:val="clear" w:color="auto" w:fill="EFF4F6"/>
          </w:tcPr>
          <w:p>
            <w:pPr>
              <w:ind w:left="20"/>
              <w:spacing w:after="0"/>
              <w:rPr>
                <w:sz w:val="20"/>
                <w:szCs w:val="20"/>
                <w:color w:val="auto"/>
              </w:rPr>
            </w:pPr>
            <w:r>
              <w:rPr>
                <w:rFonts w:ascii="Arial" w:cs="Arial" w:eastAsia="Arial" w:hAnsi="Arial"/>
                <w:sz w:val="15"/>
                <w:szCs w:val="15"/>
                <w:b w:val="1"/>
                <w:bCs w:val="1"/>
                <w:color w:val="0E5D78"/>
              </w:rPr>
              <w:t>Anne-Hélène Monsellato</w:t>
            </w:r>
          </w:p>
        </w:tc>
        <w:tc>
          <w:tcPr>
            <w:tcW w:w="1880" w:type="dxa"/>
            <w:vAlign w:val="bottom"/>
            <w:vMerge w:val="restart"/>
            <w:shd w:val="clear" w:color="auto" w:fill="EFF4F6"/>
          </w:tcPr>
          <w:p>
            <w:pPr>
              <w:jc w:val="center"/>
              <w:ind w:right="45"/>
              <w:spacing w:after="0"/>
              <w:rPr>
                <w:sz w:val="20"/>
                <w:szCs w:val="20"/>
                <w:color w:val="auto"/>
              </w:rPr>
            </w:pPr>
            <w:r>
              <w:rPr>
                <w:rFonts w:ascii="Arial" w:cs="Arial" w:eastAsia="Arial" w:hAnsi="Arial"/>
                <w:sz w:val="15"/>
                <w:szCs w:val="15"/>
                <w:color w:val="3C3C3B"/>
                <w:w w:val="92"/>
              </w:rPr>
              <w:t>Yes</w:t>
            </w:r>
          </w:p>
        </w:tc>
        <w:tc>
          <w:tcPr>
            <w:tcW w:w="1800" w:type="dxa"/>
            <w:vAlign w:val="bottom"/>
            <w:vMerge w:val="restart"/>
            <w:shd w:val="clear" w:color="auto" w:fill="EFF4F6"/>
          </w:tcPr>
          <w:p>
            <w:pPr>
              <w:jc w:val="center"/>
              <w:ind w:right="5"/>
              <w:spacing w:after="0"/>
              <w:rPr>
                <w:sz w:val="20"/>
                <w:szCs w:val="20"/>
                <w:color w:val="auto"/>
              </w:rPr>
            </w:pPr>
            <w:r>
              <w:rPr>
                <w:rFonts w:ascii="Arial" w:cs="Arial" w:eastAsia="Arial" w:hAnsi="Arial"/>
                <w:sz w:val="15"/>
                <w:szCs w:val="15"/>
                <w:b w:val="1"/>
                <w:bCs w:val="1"/>
                <w:color w:val="3C3C3B"/>
                <w:w w:val="98"/>
              </w:rPr>
              <w:t>Chairman</w:t>
            </w:r>
          </w:p>
        </w:tc>
        <w:tc>
          <w:tcPr>
            <w:tcW w:w="1760" w:type="dxa"/>
            <w:vAlign w:val="bottom"/>
            <w:shd w:val="clear" w:color="auto" w:fill="EFF4F6"/>
          </w:tcPr>
          <w:p>
            <w:pPr>
              <w:spacing w:after="0"/>
              <w:rPr>
                <w:sz w:val="17"/>
                <w:szCs w:val="17"/>
                <w:color w:val="auto"/>
              </w:rPr>
            </w:pPr>
          </w:p>
        </w:tc>
        <w:tc>
          <w:tcPr>
            <w:tcW w:w="2020" w:type="dxa"/>
            <w:vAlign w:val="bottom"/>
            <w:shd w:val="clear" w:color="auto" w:fill="EFF4F6"/>
          </w:tcPr>
          <w:p>
            <w:pPr>
              <w:spacing w:after="0"/>
              <w:rPr>
                <w:sz w:val="17"/>
                <w:szCs w:val="17"/>
                <w:color w:val="auto"/>
              </w:rPr>
            </w:pPr>
          </w:p>
        </w:tc>
        <w:tc>
          <w:tcPr>
            <w:tcW w:w="1760" w:type="dxa"/>
            <w:vAlign w:val="bottom"/>
            <w:shd w:val="clear" w:color="auto" w:fill="EFF4F6"/>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00" w:type="dxa"/>
            <w:vAlign w:val="bottom"/>
            <w:vMerge w:val="restart"/>
            <w:shd w:val="clear" w:color="auto" w:fill="EFF4F6"/>
          </w:tcPr>
          <w:p>
            <w:pPr>
              <w:ind w:left="20"/>
              <w:spacing w:after="0"/>
              <w:rPr>
                <w:sz w:val="20"/>
                <w:szCs w:val="20"/>
                <w:color w:val="auto"/>
              </w:rPr>
            </w:pPr>
            <w:r>
              <w:rPr>
                <w:rFonts w:ascii="Arial" w:cs="Arial" w:eastAsia="Arial" w:hAnsi="Arial"/>
                <w:sz w:val="15"/>
                <w:szCs w:val="15"/>
                <w:color w:val="3C3C3B"/>
              </w:rPr>
              <w:t>Director</w:t>
            </w:r>
          </w:p>
        </w:tc>
        <w:tc>
          <w:tcPr>
            <w:tcW w:w="1880" w:type="dxa"/>
            <w:vAlign w:val="bottom"/>
            <w:vMerge w:val="continue"/>
            <w:shd w:val="clear" w:color="auto" w:fill="EFF4F6"/>
          </w:tcPr>
          <w:p>
            <w:pPr>
              <w:spacing w:after="0"/>
              <w:rPr>
                <w:sz w:val="8"/>
                <w:szCs w:val="8"/>
                <w:color w:val="auto"/>
              </w:rPr>
            </w:pPr>
          </w:p>
        </w:tc>
        <w:tc>
          <w:tcPr>
            <w:tcW w:w="1800" w:type="dxa"/>
            <w:vAlign w:val="bottom"/>
            <w:vMerge w:val="continue"/>
            <w:shd w:val="clear" w:color="auto" w:fill="EFF4F6"/>
          </w:tcPr>
          <w:p>
            <w:pPr>
              <w:spacing w:after="0"/>
              <w:rPr>
                <w:sz w:val="8"/>
                <w:szCs w:val="8"/>
                <w:color w:val="auto"/>
              </w:rPr>
            </w:pPr>
          </w:p>
        </w:tc>
        <w:tc>
          <w:tcPr>
            <w:tcW w:w="1760" w:type="dxa"/>
            <w:vAlign w:val="bottom"/>
            <w:shd w:val="clear" w:color="auto" w:fill="EFF4F6"/>
          </w:tcPr>
          <w:p>
            <w:pPr>
              <w:spacing w:after="0"/>
              <w:rPr>
                <w:sz w:val="8"/>
                <w:szCs w:val="8"/>
                <w:color w:val="auto"/>
              </w:rPr>
            </w:pPr>
          </w:p>
        </w:tc>
        <w:tc>
          <w:tcPr>
            <w:tcW w:w="2020" w:type="dxa"/>
            <w:vAlign w:val="bottom"/>
            <w:shd w:val="clear" w:color="auto" w:fill="EFF4F6"/>
          </w:tcPr>
          <w:p>
            <w:pPr>
              <w:spacing w:after="0"/>
              <w:rPr>
                <w:sz w:val="8"/>
                <w:szCs w:val="8"/>
                <w:color w:val="auto"/>
              </w:rPr>
            </w:pPr>
          </w:p>
        </w:tc>
        <w:tc>
          <w:tcPr>
            <w:tcW w:w="1760" w:type="dxa"/>
            <w:vAlign w:val="bottom"/>
            <w:shd w:val="clear" w:color="auto" w:fill="EFF4F6"/>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00" w:type="dxa"/>
            <w:vAlign w:val="bottom"/>
            <w:vMerge w:val="continue"/>
            <w:shd w:val="clear" w:color="auto" w:fill="EFF4F6"/>
          </w:tcPr>
          <w:p>
            <w:pPr>
              <w:spacing w:after="0"/>
              <w:rPr>
                <w:sz w:val="10"/>
                <w:szCs w:val="10"/>
                <w:color w:val="auto"/>
              </w:rPr>
            </w:pPr>
          </w:p>
        </w:tc>
        <w:tc>
          <w:tcPr>
            <w:tcW w:w="1880" w:type="dxa"/>
            <w:vAlign w:val="bottom"/>
            <w:shd w:val="clear" w:color="auto" w:fill="EFF4F6"/>
          </w:tcPr>
          <w:p>
            <w:pPr>
              <w:spacing w:after="0"/>
              <w:rPr>
                <w:sz w:val="10"/>
                <w:szCs w:val="10"/>
                <w:color w:val="auto"/>
              </w:rPr>
            </w:pPr>
          </w:p>
        </w:tc>
        <w:tc>
          <w:tcPr>
            <w:tcW w:w="1800" w:type="dxa"/>
            <w:vAlign w:val="bottom"/>
            <w:shd w:val="clear" w:color="auto" w:fill="EFF4F6"/>
          </w:tcPr>
          <w:p>
            <w:pPr>
              <w:spacing w:after="0"/>
              <w:rPr>
                <w:sz w:val="10"/>
                <w:szCs w:val="10"/>
                <w:color w:val="auto"/>
              </w:rPr>
            </w:pPr>
          </w:p>
        </w:tc>
        <w:tc>
          <w:tcPr>
            <w:tcW w:w="1760" w:type="dxa"/>
            <w:vAlign w:val="bottom"/>
            <w:shd w:val="clear" w:color="auto" w:fill="EFF4F6"/>
          </w:tcPr>
          <w:p>
            <w:pPr>
              <w:spacing w:after="0"/>
              <w:rPr>
                <w:sz w:val="10"/>
                <w:szCs w:val="10"/>
                <w:color w:val="auto"/>
              </w:rPr>
            </w:pPr>
          </w:p>
        </w:tc>
        <w:tc>
          <w:tcPr>
            <w:tcW w:w="2020" w:type="dxa"/>
            <w:vAlign w:val="bottom"/>
            <w:shd w:val="clear" w:color="auto" w:fill="EFF4F6"/>
          </w:tcPr>
          <w:p>
            <w:pPr>
              <w:spacing w:after="0"/>
              <w:rPr>
                <w:sz w:val="10"/>
                <w:szCs w:val="10"/>
                <w:color w:val="auto"/>
              </w:rPr>
            </w:pPr>
          </w:p>
        </w:tc>
        <w:tc>
          <w:tcPr>
            <w:tcW w:w="1760" w:type="dxa"/>
            <w:vAlign w:val="bottom"/>
            <w:shd w:val="clear" w:color="auto" w:fill="EFF4F6"/>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00" w:type="dxa"/>
            <w:vAlign w:val="bottom"/>
          </w:tcPr>
          <w:p>
            <w:pPr>
              <w:ind w:left="20"/>
              <w:spacing w:after="0"/>
              <w:rPr>
                <w:sz w:val="20"/>
                <w:szCs w:val="20"/>
                <w:color w:val="auto"/>
              </w:rPr>
            </w:pPr>
            <w:r>
              <w:rPr>
                <w:rFonts w:ascii="Arial" w:cs="Arial" w:eastAsia="Arial" w:hAnsi="Arial"/>
                <w:sz w:val="15"/>
                <w:szCs w:val="15"/>
                <w:b w:val="1"/>
                <w:bCs w:val="1"/>
                <w:color w:val="0E5D78"/>
              </w:rPr>
              <w:t>Jean-François Tiné</w:t>
            </w:r>
          </w:p>
        </w:tc>
        <w:tc>
          <w:tcPr>
            <w:tcW w:w="1880" w:type="dxa"/>
            <w:vAlign w:val="bottom"/>
            <w:vMerge w:val="restart"/>
          </w:tcPr>
          <w:p>
            <w:pPr>
              <w:jc w:val="center"/>
              <w:ind w:right="45"/>
              <w:spacing w:after="0"/>
              <w:rPr>
                <w:sz w:val="20"/>
                <w:szCs w:val="20"/>
                <w:color w:val="auto"/>
              </w:rPr>
            </w:pPr>
            <w:r>
              <w:rPr>
                <w:rFonts w:ascii="Arial" w:cs="Arial" w:eastAsia="Arial" w:hAnsi="Arial"/>
                <w:sz w:val="15"/>
                <w:szCs w:val="15"/>
                <w:color w:val="3C3C3B"/>
                <w:w w:val="92"/>
              </w:rPr>
              <w:t>Yes</w:t>
            </w:r>
          </w:p>
        </w:tc>
        <w:tc>
          <w:tcPr>
            <w:tcW w:w="1800" w:type="dxa"/>
            <w:vAlign w:val="bottom"/>
            <w:vMerge w:val="restart"/>
          </w:tcPr>
          <w:p>
            <w:pPr>
              <w:jc w:val="center"/>
              <w:ind w:right="5"/>
              <w:spacing w:after="0"/>
              <w:rPr>
                <w:sz w:val="20"/>
                <w:szCs w:val="20"/>
                <w:color w:val="auto"/>
              </w:rPr>
            </w:pPr>
            <w:r>
              <w:rPr>
                <w:rFonts w:ascii="Arial" w:cs="Arial" w:eastAsia="Arial" w:hAnsi="Arial"/>
                <w:sz w:val="15"/>
                <w:szCs w:val="15"/>
                <w:color w:val="3C3C3B"/>
              </w:rPr>
              <w:t>Member</w:t>
            </w:r>
          </w:p>
        </w:tc>
        <w:tc>
          <w:tcPr>
            <w:tcW w:w="1760" w:type="dxa"/>
            <w:vAlign w:val="bottom"/>
          </w:tcPr>
          <w:p>
            <w:pPr>
              <w:spacing w:after="0"/>
              <w:rPr>
                <w:sz w:val="16"/>
                <w:szCs w:val="16"/>
                <w:color w:val="auto"/>
              </w:rPr>
            </w:pPr>
          </w:p>
        </w:tc>
        <w:tc>
          <w:tcPr>
            <w:tcW w:w="2020" w:type="dxa"/>
            <w:vAlign w:val="bottom"/>
            <w:vMerge w:val="restart"/>
          </w:tcPr>
          <w:p>
            <w:pPr>
              <w:jc w:val="center"/>
              <w:spacing w:after="0"/>
              <w:rPr>
                <w:sz w:val="20"/>
                <w:szCs w:val="20"/>
                <w:color w:val="auto"/>
              </w:rPr>
            </w:pPr>
            <w:r>
              <w:rPr>
                <w:rFonts w:ascii="Arial" w:cs="Arial" w:eastAsia="Arial" w:hAnsi="Arial"/>
                <w:sz w:val="15"/>
                <w:szCs w:val="15"/>
                <w:color w:val="3C3C3B"/>
                <w:w w:val="98"/>
              </w:rPr>
              <w:t>Member</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00" w:type="dxa"/>
            <w:vAlign w:val="bottom"/>
            <w:vMerge w:val="restart"/>
          </w:tcPr>
          <w:p>
            <w:pPr>
              <w:ind w:left="20"/>
              <w:spacing w:after="0"/>
              <w:rPr>
                <w:sz w:val="20"/>
                <w:szCs w:val="20"/>
                <w:color w:val="auto"/>
              </w:rPr>
            </w:pPr>
            <w:r>
              <w:rPr>
                <w:rFonts w:ascii="Arial" w:cs="Arial" w:eastAsia="Arial" w:hAnsi="Arial"/>
                <w:sz w:val="15"/>
                <w:szCs w:val="15"/>
                <w:color w:val="3C3C3B"/>
              </w:rPr>
              <w:t>Director</w:t>
            </w:r>
          </w:p>
        </w:tc>
        <w:tc>
          <w:tcPr>
            <w:tcW w:w="188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0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000" w:type="dxa"/>
            <w:vAlign w:val="bottom"/>
            <w:shd w:val="clear" w:color="auto" w:fill="EFF4F6"/>
          </w:tcPr>
          <w:p>
            <w:pPr>
              <w:ind w:left="20"/>
              <w:spacing w:after="0"/>
              <w:rPr>
                <w:sz w:val="20"/>
                <w:szCs w:val="20"/>
                <w:color w:val="auto"/>
              </w:rPr>
            </w:pPr>
            <w:r>
              <w:rPr>
                <w:rFonts w:ascii="Arial" w:cs="Arial" w:eastAsia="Arial" w:hAnsi="Arial"/>
                <w:sz w:val="15"/>
                <w:szCs w:val="15"/>
                <w:b w:val="1"/>
                <w:bCs w:val="1"/>
                <w:color w:val="406274"/>
              </w:rPr>
              <w:t>Tristan Imbert</w:t>
            </w:r>
          </w:p>
        </w:tc>
        <w:tc>
          <w:tcPr>
            <w:tcW w:w="1880" w:type="dxa"/>
            <w:vAlign w:val="bottom"/>
            <w:vMerge w:val="restart"/>
            <w:shd w:val="clear" w:color="auto" w:fill="EFF4F6"/>
          </w:tcPr>
          <w:p>
            <w:pPr>
              <w:jc w:val="center"/>
              <w:ind w:right="45"/>
              <w:spacing w:after="0"/>
              <w:rPr>
                <w:sz w:val="20"/>
                <w:szCs w:val="20"/>
                <w:color w:val="auto"/>
              </w:rPr>
            </w:pPr>
            <w:r>
              <w:rPr>
                <w:rFonts w:ascii="Arial" w:cs="Arial" w:eastAsia="Arial" w:hAnsi="Arial"/>
                <w:sz w:val="15"/>
                <w:szCs w:val="15"/>
                <w:color w:val="3C3C3B"/>
                <w:w w:val="92"/>
              </w:rPr>
              <w:t>Yes</w:t>
            </w:r>
          </w:p>
        </w:tc>
        <w:tc>
          <w:tcPr>
            <w:tcW w:w="1800" w:type="dxa"/>
            <w:vAlign w:val="bottom"/>
            <w:vMerge w:val="restart"/>
            <w:shd w:val="clear" w:color="auto" w:fill="EFF4F6"/>
          </w:tcPr>
          <w:p>
            <w:pPr>
              <w:jc w:val="center"/>
              <w:ind w:right="5"/>
              <w:spacing w:after="0"/>
              <w:rPr>
                <w:sz w:val="20"/>
                <w:szCs w:val="20"/>
                <w:color w:val="auto"/>
              </w:rPr>
            </w:pPr>
            <w:r>
              <w:rPr>
                <w:rFonts w:ascii="Arial" w:cs="Arial" w:eastAsia="Arial" w:hAnsi="Arial"/>
                <w:sz w:val="15"/>
                <w:szCs w:val="15"/>
                <w:color w:val="3C3C3B"/>
              </w:rPr>
              <w:t>Member</w:t>
            </w:r>
          </w:p>
        </w:tc>
        <w:tc>
          <w:tcPr>
            <w:tcW w:w="1760" w:type="dxa"/>
            <w:vAlign w:val="bottom"/>
            <w:shd w:val="clear" w:color="auto" w:fill="EFF4F6"/>
          </w:tcPr>
          <w:p>
            <w:pPr>
              <w:spacing w:after="0"/>
              <w:rPr>
                <w:sz w:val="17"/>
                <w:szCs w:val="17"/>
                <w:color w:val="auto"/>
              </w:rPr>
            </w:pPr>
          </w:p>
        </w:tc>
        <w:tc>
          <w:tcPr>
            <w:tcW w:w="2020" w:type="dxa"/>
            <w:vAlign w:val="bottom"/>
            <w:shd w:val="clear" w:color="auto" w:fill="EFF4F6"/>
          </w:tcPr>
          <w:p>
            <w:pPr>
              <w:spacing w:after="0"/>
              <w:rPr>
                <w:sz w:val="17"/>
                <w:szCs w:val="17"/>
                <w:color w:val="auto"/>
              </w:rPr>
            </w:pPr>
          </w:p>
        </w:tc>
        <w:tc>
          <w:tcPr>
            <w:tcW w:w="1760" w:type="dxa"/>
            <w:vAlign w:val="bottom"/>
            <w:vMerge w:val="restart"/>
            <w:shd w:val="clear" w:color="auto" w:fill="EFF4F6"/>
          </w:tcPr>
          <w:p>
            <w:pPr>
              <w:jc w:val="center"/>
              <w:ind w:right="5"/>
              <w:spacing w:after="0"/>
              <w:rPr>
                <w:sz w:val="20"/>
                <w:szCs w:val="20"/>
                <w:color w:val="auto"/>
              </w:rPr>
            </w:pPr>
            <w:r>
              <w:rPr>
                <w:rFonts w:ascii="Arial" w:cs="Arial" w:eastAsia="Arial" w:hAnsi="Arial"/>
                <w:sz w:val="15"/>
                <w:szCs w:val="15"/>
                <w:color w:val="3C3C3B"/>
              </w:rPr>
              <w:t>Member</w:t>
            </w:r>
          </w:p>
        </w:tc>
        <w:tc>
          <w:tcPr>
            <w:tcW w:w="0" w:type="dxa"/>
            <w:vAlign w:val="bottom"/>
          </w:tcPr>
          <w:p>
            <w:pPr>
              <w:spacing w:after="0"/>
              <w:rPr>
                <w:sz w:val="1"/>
                <w:szCs w:val="1"/>
                <w:color w:val="auto"/>
              </w:rPr>
            </w:pPr>
          </w:p>
        </w:tc>
      </w:tr>
      <w:tr>
        <w:trPr>
          <w:trHeight w:val="92"/>
        </w:trPr>
        <w:tc>
          <w:tcPr>
            <w:tcW w:w="2000" w:type="dxa"/>
            <w:vAlign w:val="bottom"/>
            <w:vMerge w:val="restart"/>
            <w:shd w:val="clear" w:color="auto" w:fill="EFF4F6"/>
          </w:tcPr>
          <w:p>
            <w:pPr>
              <w:ind w:left="20"/>
              <w:spacing w:after="0"/>
              <w:rPr>
                <w:sz w:val="20"/>
                <w:szCs w:val="20"/>
                <w:color w:val="auto"/>
              </w:rPr>
            </w:pPr>
            <w:r>
              <w:rPr>
                <w:rFonts w:ascii="Arial" w:cs="Arial" w:eastAsia="Arial" w:hAnsi="Arial"/>
                <w:sz w:val="15"/>
                <w:szCs w:val="15"/>
                <w:color w:val="3C3C3B"/>
              </w:rPr>
              <w:t>Director</w:t>
            </w:r>
          </w:p>
        </w:tc>
        <w:tc>
          <w:tcPr>
            <w:tcW w:w="1880" w:type="dxa"/>
            <w:vAlign w:val="bottom"/>
            <w:vMerge w:val="continue"/>
            <w:shd w:val="clear" w:color="auto" w:fill="EFF4F6"/>
          </w:tcPr>
          <w:p>
            <w:pPr>
              <w:spacing w:after="0"/>
              <w:rPr>
                <w:sz w:val="7"/>
                <w:szCs w:val="7"/>
                <w:color w:val="auto"/>
              </w:rPr>
            </w:pPr>
          </w:p>
        </w:tc>
        <w:tc>
          <w:tcPr>
            <w:tcW w:w="1800" w:type="dxa"/>
            <w:vAlign w:val="bottom"/>
            <w:vMerge w:val="continue"/>
            <w:shd w:val="clear" w:color="auto" w:fill="EFF4F6"/>
          </w:tcPr>
          <w:p>
            <w:pPr>
              <w:spacing w:after="0"/>
              <w:rPr>
                <w:sz w:val="7"/>
                <w:szCs w:val="7"/>
                <w:color w:val="auto"/>
              </w:rPr>
            </w:pPr>
          </w:p>
        </w:tc>
        <w:tc>
          <w:tcPr>
            <w:tcW w:w="1760" w:type="dxa"/>
            <w:vAlign w:val="bottom"/>
            <w:shd w:val="clear" w:color="auto" w:fill="EFF4F6"/>
          </w:tcPr>
          <w:p>
            <w:pPr>
              <w:spacing w:after="0"/>
              <w:rPr>
                <w:sz w:val="7"/>
                <w:szCs w:val="7"/>
                <w:color w:val="auto"/>
              </w:rPr>
            </w:pPr>
          </w:p>
        </w:tc>
        <w:tc>
          <w:tcPr>
            <w:tcW w:w="2020" w:type="dxa"/>
            <w:vAlign w:val="bottom"/>
            <w:shd w:val="clear" w:color="auto" w:fill="EFF4F6"/>
          </w:tcPr>
          <w:p>
            <w:pPr>
              <w:spacing w:after="0"/>
              <w:rPr>
                <w:sz w:val="7"/>
                <w:szCs w:val="7"/>
                <w:color w:val="auto"/>
              </w:rPr>
            </w:pPr>
          </w:p>
        </w:tc>
        <w:tc>
          <w:tcPr>
            <w:tcW w:w="1760" w:type="dxa"/>
            <w:vAlign w:val="bottom"/>
            <w:vMerge w:val="continue"/>
            <w:shd w:val="clear" w:color="auto" w:fill="EFF4F6"/>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00" w:type="dxa"/>
            <w:vAlign w:val="bottom"/>
            <w:tcBorders>
              <w:bottom w:val="single" w:sz="8" w:color="auto"/>
            </w:tcBorders>
            <w:vMerge w:val="continue"/>
            <w:shd w:val="clear" w:color="auto" w:fill="EFF4F6"/>
          </w:tcPr>
          <w:p>
            <w:pPr>
              <w:spacing w:after="0"/>
              <w:rPr>
                <w:sz w:val="10"/>
                <w:szCs w:val="10"/>
                <w:color w:val="auto"/>
              </w:rPr>
            </w:pPr>
          </w:p>
        </w:tc>
        <w:tc>
          <w:tcPr>
            <w:tcW w:w="1880" w:type="dxa"/>
            <w:vAlign w:val="bottom"/>
            <w:tcBorders>
              <w:bottom w:val="single" w:sz="8" w:color="auto"/>
            </w:tcBorders>
            <w:shd w:val="clear" w:color="auto" w:fill="EFF4F6"/>
          </w:tcPr>
          <w:p>
            <w:pPr>
              <w:spacing w:after="0"/>
              <w:rPr>
                <w:sz w:val="10"/>
                <w:szCs w:val="10"/>
                <w:color w:val="auto"/>
              </w:rPr>
            </w:pPr>
          </w:p>
        </w:tc>
        <w:tc>
          <w:tcPr>
            <w:tcW w:w="1800" w:type="dxa"/>
            <w:vAlign w:val="bottom"/>
            <w:tcBorders>
              <w:bottom w:val="single" w:sz="8" w:color="auto"/>
            </w:tcBorders>
            <w:shd w:val="clear" w:color="auto" w:fill="EFF4F6"/>
          </w:tcPr>
          <w:p>
            <w:pPr>
              <w:spacing w:after="0"/>
              <w:rPr>
                <w:sz w:val="10"/>
                <w:szCs w:val="10"/>
                <w:color w:val="auto"/>
              </w:rPr>
            </w:pPr>
          </w:p>
        </w:tc>
        <w:tc>
          <w:tcPr>
            <w:tcW w:w="1760" w:type="dxa"/>
            <w:vAlign w:val="bottom"/>
            <w:tcBorders>
              <w:bottom w:val="single" w:sz="8" w:color="auto"/>
            </w:tcBorders>
            <w:shd w:val="clear" w:color="auto" w:fill="EFF4F6"/>
          </w:tcPr>
          <w:p>
            <w:pPr>
              <w:spacing w:after="0"/>
              <w:rPr>
                <w:sz w:val="10"/>
                <w:szCs w:val="10"/>
                <w:color w:val="auto"/>
              </w:rPr>
            </w:pPr>
          </w:p>
        </w:tc>
        <w:tc>
          <w:tcPr>
            <w:tcW w:w="2020" w:type="dxa"/>
            <w:vAlign w:val="bottom"/>
            <w:tcBorders>
              <w:bottom w:val="single" w:sz="8" w:color="auto"/>
            </w:tcBorders>
            <w:shd w:val="clear" w:color="auto" w:fill="EFF4F6"/>
          </w:tcPr>
          <w:p>
            <w:pPr>
              <w:spacing w:after="0"/>
              <w:rPr>
                <w:sz w:val="10"/>
                <w:szCs w:val="10"/>
                <w:color w:val="auto"/>
              </w:rPr>
            </w:pPr>
          </w:p>
        </w:tc>
        <w:tc>
          <w:tcPr>
            <w:tcW w:w="1760" w:type="dxa"/>
            <w:vAlign w:val="bottom"/>
            <w:tcBorders>
              <w:bottom w:val="single" w:sz="8" w:color="auto"/>
            </w:tcBorders>
            <w:shd w:val="clear" w:color="auto" w:fill="EFF4F6"/>
          </w:tcPr>
          <w:p>
            <w:pPr>
              <w:spacing w:after="0"/>
              <w:rPr>
                <w:sz w:val="10"/>
                <w:szCs w:val="10"/>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right="100" w:firstLine="318"/>
        <w:spacing w:after="0" w:line="293" w:lineRule="auto"/>
        <w:rPr>
          <w:sz w:val="20"/>
          <w:szCs w:val="20"/>
          <w:color w:val="auto"/>
        </w:rPr>
      </w:pPr>
      <w:r>
        <w:rPr>
          <w:rFonts w:ascii="Arial" w:cs="Arial" w:eastAsia="Arial" w:hAnsi="Arial"/>
          <w:sz w:val="15"/>
          <w:szCs w:val="15"/>
          <w:color w:val="3C3C3B"/>
        </w:rPr>
        <w:t>At the Company’s Annual Shareholders’ Meeting held on June 17, 2025, all of the resolutions recommended by the Board of Directors were adopted by a significant majority of the votes cast; this includes the renewal of financial authorizations that would allow the Company flexibility to seize relevant market opportunities.</w:t>
      </w:r>
    </w:p>
    <w:p>
      <w:pPr>
        <w:spacing w:after="0" w:line="177" w:lineRule="exact"/>
        <w:rPr>
          <w:sz w:val="20"/>
          <w:szCs w:val="20"/>
          <w:color w:val="auto"/>
        </w:rPr>
      </w:pPr>
    </w:p>
    <w:p>
      <w:pPr>
        <w:ind w:left="1580"/>
        <w:spacing w:after="0"/>
        <w:rPr>
          <w:sz w:val="20"/>
          <w:szCs w:val="20"/>
          <w:color w:val="auto"/>
        </w:rPr>
      </w:pPr>
      <w:r>
        <w:rPr>
          <w:rFonts w:ascii="Arial" w:cs="Arial" w:eastAsia="Arial" w:hAnsi="Arial"/>
          <w:sz w:val="21"/>
          <w:szCs w:val="21"/>
          <w:b w:val="1"/>
          <w:bCs w:val="1"/>
          <w:color w:val="005578"/>
        </w:rPr>
        <w:t>ESG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8242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280" w:lineRule="exact"/>
        <w:rPr>
          <w:sz w:val="20"/>
          <w:szCs w:val="20"/>
          <w:color w:val="auto"/>
        </w:rPr>
      </w:pPr>
    </w:p>
    <w:p>
      <w:pPr>
        <w:jc w:val="both"/>
        <w:ind w:right="100" w:firstLine="318"/>
        <w:spacing w:after="0" w:line="263" w:lineRule="auto"/>
        <w:rPr>
          <w:sz w:val="20"/>
          <w:szCs w:val="20"/>
          <w:color w:val="auto"/>
        </w:rPr>
      </w:pPr>
      <w:r>
        <w:rPr>
          <w:rFonts w:ascii="Arial" w:cs="Arial" w:eastAsia="Arial" w:hAnsi="Arial"/>
          <w:sz w:val="15"/>
          <w:szCs w:val="15"/>
          <w:color w:val="3C3C3B"/>
        </w:rPr>
        <w:t>In 2024, GENFIT has been monitoring regulatory developments and has prepared a progressive compliance plan for non-financial reporting under the CSRD framework, until the draft of Omnibus Directive published at the beginning of 2025 led to the suspension of our transition plan to the ESRS standards associated with this directive. This regulatory development does not, however, call into question our desire to move closer to European standards, as part of a voluntary approach tailored to our corporate profile. GENFIT will therefore continue to monitor best reporting practices and adjust as needed.</w:t>
      </w:r>
    </w:p>
    <w:p>
      <w:pPr>
        <w:spacing w:after="0" w:line="145"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5"/>
          <w:szCs w:val="15"/>
          <w:color w:val="3C3C3B"/>
        </w:rPr>
        <w:t>In May 2025, GENFIT published its annual Extra-Financial Performance Report (fiscal year 2024), highlighting its latest initiatives and providing insights on the evolution of key performance indicators.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830" w:type="dxa"/>
        <w:tblCellMar>
          <w:top w:w="0" w:type="dxa"/>
          <w:left w:w="0" w:type="dxa"/>
          <w:bottom w:w="0" w:type="dxa"/>
          <w:right w:w="0" w:type="dxa"/>
        </w:tblCellMar>
      </w:tblPr>
      <w:tr>
        <w:trPr>
          <w:trHeight w:val="146"/>
        </w:trPr>
        <w:tc>
          <w:tcPr>
            <w:tcW w:w="7880" w:type="dxa"/>
            <w:vAlign w:val="bottom"/>
            <w:tcBorders>
              <w:left w:val="single" w:sz="8" w:color="57879D"/>
            </w:tcBorders>
            <w:vMerge w:val="restart"/>
          </w:tcPr>
          <w:p>
            <w:pPr>
              <w:ind w:left="40"/>
              <w:spacing w:after="0"/>
              <w:rPr>
                <w:sz w:val="20"/>
                <w:szCs w:val="20"/>
                <w:color w:val="auto"/>
              </w:rPr>
            </w:pPr>
            <w:r>
              <w:rPr>
                <w:rFonts w:ascii="Arial" w:cs="Arial" w:eastAsia="Arial" w:hAnsi="Arial"/>
                <w:sz w:val="15"/>
                <w:szCs w:val="15"/>
                <w:color w:val="3C3C3B"/>
              </w:rPr>
              <w:t>Half-Year Business and Financial Report at June 30, 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7880" w:type="dxa"/>
            <w:vAlign w:val="bottom"/>
            <w:tcBorders>
              <w:left w:val="single" w:sz="8" w:color="57879D"/>
            </w:tcBorders>
            <w:vMerge w:val="continue"/>
          </w:tcPr>
          <w:p>
            <w:pPr>
              <w:spacing w:after="0"/>
              <w:rPr>
                <w:sz w:val="24"/>
                <w:szCs w:val="24"/>
                <w:color w:val="auto"/>
              </w:rPr>
            </w:pPr>
          </w:p>
        </w:tc>
        <w:tc>
          <w:tcPr>
            <w:tcW w:w="640" w:type="dxa"/>
            <w:vAlign w:val="bottom"/>
            <w:tcBorders>
              <w:bottom w:val="single" w:sz="8" w:color="DBDBDB"/>
            </w:tcBorders>
            <w:shd w:val="clear" w:color="auto" w:fill="DBDBDB"/>
          </w:tcPr>
          <w:p>
            <w:pPr>
              <w:jc w:val="right"/>
              <w:ind w:right="465"/>
              <w:spacing w:after="0"/>
              <w:rPr>
                <w:sz w:val="20"/>
                <w:szCs w:val="20"/>
                <w:color w:val="auto"/>
              </w:rPr>
            </w:pPr>
            <w:r>
              <w:rPr>
                <w:rFonts w:ascii="Arial" w:cs="Arial" w:eastAsia="Arial" w:hAnsi="Arial"/>
                <w:sz w:val="15"/>
                <w:szCs w:val="15"/>
                <w:color w:val="3C3C3B"/>
                <w:w w:val="95"/>
              </w:rPr>
              <w:t>8</w:t>
            </w:r>
          </w:p>
        </w:tc>
        <w:tc>
          <w:tcPr>
            <w:tcW w:w="0" w:type="dxa"/>
            <w:vAlign w:val="bottom"/>
          </w:tcPr>
          <w:p>
            <w:pPr>
              <w:spacing w:after="0"/>
              <w:rPr>
                <w:sz w:val="1"/>
                <w:szCs w:val="1"/>
                <w:color w:val="auto"/>
              </w:rPr>
            </w:pPr>
          </w:p>
        </w:tc>
      </w:tr>
      <w:tr>
        <w:trPr>
          <w:trHeight w:val="146"/>
        </w:trPr>
        <w:tc>
          <w:tcPr>
            <w:tcW w:w="7880" w:type="dxa"/>
            <w:vAlign w:val="bottom"/>
            <w:tcBorders>
              <w:left w:val="single" w:sz="8" w:color="57879D"/>
            </w:tcBorders>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-369570</wp:posOffset>
            </wp:positionV>
            <wp:extent cx="1094105" cy="277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94105" cy="277495"/>
                    </a:xfrm>
                    <a:prstGeom prst="rect">
                      <a:avLst/>
                    </a:prstGeom>
                    <a:noFill/>
                  </pic:spPr>
                </pic:pic>
              </a:graphicData>
            </a:graphic>
          </wp:anchor>
        </w:drawing>
      </w:r>
    </w:p>
    <w:p>
      <w:pPr>
        <w:sectPr>
          <w:pgSz w:w="11900" w:h="16838" w:orient="portrait"/>
          <w:cols w:equalWidth="0" w:num="1">
            <w:col w:w="11340"/>
          </w:cols>
          <w:pgMar w:left="320" w:top="1315" w:right="239" w:bottom="1440" w:gutter="0" w:footer="0" w:header="0"/>
        </w:sectPr>
      </w:pPr>
    </w:p>
    <w:bookmarkStart w:id="14" w:name="page15"/>
    <w:bookmarkEnd w:id="14"/>
    <w:p>
      <w:pPr>
        <w:ind w:left="500"/>
        <w:spacing w:after="0"/>
        <w:tabs>
          <w:tab w:leader="none" w:pos="1180" w:val="left"/>
        </w:tabs>
        <w:rPr>
          <w:sz w:val="20"/>
          <w:szCs w:val="20"/>
          <w:color w:val="auto"/>
        </w:rPr>
      </w:pPr>
      <w:r>
        <w:rPr>
          <w:rFonts w:ascii="Arial" w:cs="Arial" w:eastAsia="Arial" w:hAnsi="Arial"/>
          <w:sz w:val="28"/>
          <w:szCs w:val="28"/>
          <w:b w:val="1"/>
          <w:bCs w:val="1"/>
          <w:color w:val="57879D"/>
        </w:rPr>
        <w:t>2.2</w:t>
        <w:tab/>
        <w:t>Strategy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7134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77" w:lineRule="exact"/>
        <w:rPr>
          <w:sz w:val="20"/>
          <w:szCs w:val="20"/>
          <w:color w:val="auto"/>
        </w:rPr>
      </w:pPr>
    </w:p>
    <w:p>
      <w:pPr>
        <w:ind w:left="1580"/>
        <w:spacing w:after="0"/>
        <w:rPr>
          <w:sz w:val="20"/>
          <w:szCs w:val="20"/>
          <w:color w:val="auto"/>
        </w:rPr>
      </w:pPr>
      <w:r>
        <w:rPr>
          <w:rFonts w:ascii="Arial" w:cs="Arial" w:eastAsia="Arial" w:hAnsi="Arial"/>
          <w:sz w:val="21"/>
          <w:szCs w:val="21"/>
          <w:b w:val="1"/>
          <w:bCs w:val="1"/>
          <w:color w:val="005578"/>
        </w:rPr>
        <w:t>Our approach to generate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8242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293" w:lineRule="exact"/>
        <w:rPr>
          <w:sz w:val="20"/>
          <w:szCs w:val="20"/>
          <w:color w:val="auto"/>
        </w:rPr>
      </w:pPr>
    </w:p>
    <w:p>
      <w:pPr>
        <w:ind w:right="100" w:firstLine="318"/>
        <w:spacing w:after="0" w:line="293" w:lineRule="auto"/>
        <w:rPr>
          <w:sz w:val="20"/>
          <w:szCs w:val="20"/>
          <w:color w:val="auto"/>
        </w:rPr>
      </w:pPr>
      <w:r>
        <w:rPr>
          <w:rFonts w:ascii="Arial" w:cs="Arial" w:eastAsia="Arial" w:hAnsi="Arial"/>
          <w:sz w:val="15"/>
          <w:szCs w:val="15"/>
          <w:color w:val="3C3C3B"/>
        </w:rPr>
        <w:t>In drug development, our goal is to focus our efforts in one specific area - rare and life-threatening liver diseases - for greater operational efficiency, and to distribute risk across different programs with different mechanisms of action, with the goal to improve our chances of success.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Our goal is also to reduce development timelines, and we therefore favor two approaches to strengthen our portfolio:</w:t>
      </w:r>
    </w:p>
    <w:p>
      <w:pPr>
        <w:spacing w:after="0" w:line="79" w:lineRule="exact"/>
        <w:rPr>
          <w:sz w:val="20"/>
          <w:szCs w:val="20"/>
          <w:color w:val="auto"/>
        </w:rPr>
      </w:pPr>
    </w:p>
    <w:p>
      <w:pPr>
        <w:ind w:left="500" w:hanging="240"/>
        <w:spacing w:after="0"/>
        <w:tabs>
          <w:tab w:leader="none" w:pos="500" w:val="left"/>
        </w:tabs>
        <w:numPr>
          <w:ilvl w:val="0"/>
          <w:numId w:val="24"/>
        </w:numPr>
        <w:rPr>
          <w:rFonts w:ascii="Arial" w:cs="Arial" w:eastAsia="Arial" w:hAnsi="Arial"/>
          <w:sz w:val="15"/>
          <w:szCs w:val="15"/>
          <w:color w:val="3C3C3B"/>
        </w:rPr>
      </w:pPr>
      <w:r>
        <w:rPr>
          <w:rFonts w:ascii="Arial" w:cs="Arial" w:eastAsia="Arial" w:hAnsi="Arial"/>
          <w:sz w:val="15"/>
          <w:szCs w:val="15"/>
          <w:color w:val="3C3C3B"/>
        </w:rPr>
        <w:t>Repurposing of molecules approved in other indications (e.g. NTZ, an antiparasitic drug, in ACLF and revised as part of our G1090N program)</w:t>
      </w:r>
    </w:p>
    <w:p>
      <w:pPr>
        <w:spacing w:after="0" w:line="79" w:lineRule="exact"/>
        <w:rPr>
          <w:rFonts w:ascii="Arial" w:cs="Arial" w:eastAsia="Arial" w:hAnsi="Arial"/>
          <w:sz w:val="15"/>
          <w:szCs w:val="15"/>
          <w:color w:val="3C3C3B"/>
        </w:rPr>
      </w:pPr>
    </w:p>
    <w:p>
      <w:pPr>
        <w:jc w:val="both"/>
        <w:ind w:left="520" w:right="100" w:hanging="260"/>
        <w:spacing w:after="0" w:line="266" w:lineRule="auto"/>
        <w:tabs>
          <w:tab w:leader="none" w:pos="504" w:val="left"/>
        </w:tabs>
        <w:numPr>
          <w:ilvl w:val="0"/>
          <w:numId w:val="24"/>
        </w:numPr>
        <w:rPr>
          <w:rFonts w:ascii="Arial" w:cs="Arial" w:eastAsia="Arial" w:hAnsi="Arial"/>
          <w:sz w:val="15"/>
          <w:szCs w:val="15"/>
          <w:color w:val="3C3C3B"/>
        </w:rPr>
      </w:pPr>
      <w:r>
        <w:rPr>
          <w:rFonts w:ascii="Arial" w:cs="Arial" w:eastAsia="Arial" w:hAnsi="Arial"/>
          <w:sz w:val="15"/>
          <w:szCs w:val="15"/>
          <w:color w:val="3C3C3B"/>
        </w:rPr>
        <w:t>In-licensing and/or acquisition of molecules initially developed by other companies (e.g. GNS561, for which the intellectual property rights were acquired from Genoscience Pharma; ACLF pipeline : VS-02, SRT-015 and CLM-022, respectively, through the ownership of Versantis AG, the license agreement with Seal Rock Therapeutics and the license agreement reached with Celloram Inc.).</w:t>
      </w:r>
    </w:p>
    <w:p>
      <w:pPr>
        <w:spacing w:after="0" w:line="142" w:lineRule="exact"/>
        <w:rPr>
          <w:sz w:val="20"/>
          <w:szCs w:val="20"/>
          <w:color w:val="auto"/>
        </w:rPr>
      </w:pPr>
    </w:p>
    <w:p>
      <w:pPr>
        <w:jc w:val="both"/>
        <w:ind w:right="100" w:firstLine="318"/>
        <w:spacing w:after="0" w:line="266" w:lineRule="auto"/>
        <w:rPr>
          <w:sz w:val="20"/>
          <w:szCs w:val="20"/>
          <w:color w:val="auto"/>
        </w:rPr>
      </w:pPr>
      <w:r>
        <w:rPr>
          <w:rFonts w:ascii="Arial" w:cs="Arial" w:eastAsia="Arial" w:hAnsi="Arial"/>
          <w:sz w:val="15"/>
          <w:szCs w:val="15"/>
          <w:color w:val="3C3C3B"/>
        </w:rPr>
        <w:t>GENFIT's ambition is to develop drug candidates from the earliest stages up to the latest stages, including Phase 3 and pre-commercialization. Depending on predefined criteria such as the targeted indication or competitive environment, or potential opportunities in terms of partnerships, GENFIT will then choose what we consider to be the best option to commercialize our most promising assets for which the Company has not yet out-licensed the rights:</w:t>
      </w:r>
    </w:p>
    <w:p>
      <w:pPr>
        <w:spacing w:after="0" w:line="49" w:lineRule="exact"/>
        <w:rPr>
          <w:sz w:val="20"/>
          <w:szCs w:val="20"/>
          <w:color w:val="auto"/>
        </w:rPr>
      </w:pPr>
    </w:p>
    <w:p>
      <w:pPr>
        <w:ind w:left="500" w:hanging="240"/>
        <w:spacing w:after="0"/>
        <w:tabs>
          <w:tab w:leader="none" w:pos="500" w:val="left"/>
        </w:tabs>
        <w:numPr>
          <w:ilvl w:val="0"/>
          <w:numId w:val="25"/>
        </w:numPr>
        <w:rPr>
          <w:rFonts w:ascii="Arial" w:cs="Arial" w:eastAsia="Arial" w:hAnsi="Arial"/>
          <w:sz w:val="15"/>
          <w:szCs w:val="15"/>
          <w:color w:val="3C3C3B"/>
        </w:rPr>
      </w:pPr>
      <w:r>
        <w:rPr>
          <w:rFonts w:ascii="Arial" w:cs="Arial" w:eastAsia="Arial" w:hAnsi="Arial"/>
          <w:sz w:val="15"/>
          <w:szCs w:val="15"/>
          <w:color w:val="3C3C3B"/>
        </w:rPr>
        <w:t>Build our own marketing and sales forces to commercialize the asset on our own, or</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25"/>
        </w:numPr>
        <w:rPr>
          <w:rFonts w:ascii="Arial" w:cs="Arial" w:eastAsia="Arial" w:hAnsi="Arial"/>
          <w:sz w:val="15"/>
          <w:szCs w:val="15"/>
          <w:color w:val="3C3C3B"/>
        </w:rPr>
      </w:pPr>
      <w:r>
        <w:rPr>
          <w:rFonts w:ascii="Arial" w:cs="Arial" w:eastAsia="Arial" w:hAnsi="Arial"/>
          <w:sz w:val="15"/>
          <w:szCs w:val="15"/>
          <w:color w:val="3C3C3B"/>
        </w:rPr>
        <w:t>Leverage the existing relationship with our preferred commercial partner Ipsen which provides a natural path to commercialization, or</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25"/>
        </w:numPr>
        <w:rPr>
          <w:rFonts w:ascii="Arial" w:cs="Arial" w:eastAsia="Arial" w:hAnsi="Arial"/>
          <w:sz w:val="15"/>
          <w:szCs w:val="15"/>
          <w:color w:val="3C3C3B"/>
        </w:rPr>
      </w:pPr>
      <w:r>
        <w:rPr>
          <w:rFonts w:ascii="Arial" w:cs="Arial" w:eastAsia="Arial" w:hAnsi="Arial"/>
          <w:sz w:val="15"/>
          <w:szCs w:val="15"/>
          <w:color w:val="3C3C3B"/>
        </w:rPr>
        <w:t>Commercialize via another partner.</w:t>
      </w:r>
    </w:p>
    <w:p>
      <w:pPr>
        <w:spacing w:after="0" w:line="185" w:lineRule="exact"/>
        <w:rPr>
          <w:sz w:val="20"/>
          <w:szCs w:val="20"/>
          <w:color w:val="auto"/>
        </w:rPr>
      </w:pPr>
    </w:p>
    <w:p>
      <w:pPr>
        <w:jc w:val="both"/>
        <w:ind w:right="100" w:firstLine="318"/>
        <w:spacing w:after="0" w:line="293" w:lineRule="auto"/>
        <w:rPr>
          <w:sz w:val="20"/>
          <w:szCs w:val="20"/>
          <w:color w:val="auto"/>
        </w:rPr>
      </w:pPr>
      <w:r>
        <w:rPr>
          <w:rFonts w:ascii="Arial" w:cs="Arial" w:eastAsia="Arial" w:hAnsi="Arial"/>
          <w:sz w:val="15"/>
          <w:szCs w:val="15"/>
          <w:color w:val="3C3C3B"/>
        </w:rPr>
        <w:t>We consider the patient journey as a whole and are also looking to continue to be present in the diagnostic field, specifically to determine which populations to treat within the therapeutic areas we are targeting with our drug candidates.</w:t>
      </w:r>
    </w:p>
    <w:p>
      <w:pPr>
        <w:spacing w:after="0" w:line="177" w:lineRule="exact"/>
        <w:rPr>
          <w:sz w:val="20"/>
          <w:szCs w:val="20"/>
          <w:color w:val="auto"/>
        </w:rPr>
      </w:pPr>
    </w:p>
    <w:p>
      <w:pPr>
        <w:ind w:left="1580"/>
        <w:spacing w:after="0"/>
        <w:rPr>
          <w:sz w:val="20"/>
          <w:szCs w:val="20"/>
          <w:color w:val="auto"/>
        </w:rPr>
      </w:pPr>
      <w:r>
        <w:rPr>
          <w:rFonts w:ascii="Arial" w:cs="Arial" w:eastAsia="Arial" w:hAnsi="Arial"/>
          <w:sz w:val="21"/>
          <w:szCs w:val="21"/>
          <w:b w:val="1"/>
          <w:bCs w:val="1"/>
          <w:color w:val="005578"/>
        </w:rPr>
        <w:t>Our corporate priorities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8242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293"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5"/>
          <w:szCs w:val="15"/>
          <w:color w:val="3C3C3B"/>
        </w:rPr>
        <w:t>In accordance to this strategy, GENFIT continues, during the second half of 2025, to prioritize the execution of its clinical development programs underway at the date of this report, as well as research programs focused on pre-clinical/non-clinical development.</w:t>
      </w:r>
    </w:p>
    <w:p>
      <w:pPr>
        <w:spacing w:after="0" w:line="136" w:lineRule="exact"/>
        <w:rPr>
          <w:sz w:val="20"/>
          <w:szCs w:val="20"/>
          <w:color w:val="auto"/>
        </w:rPr>
      </w:pPr>
    </w:p>
    <w:p>
      <w:pPr>
        <w:jc w:val="both"/>
        <w:ind w:right="100" w:firstLine="318"/>
        <w:spacing w:after="0" w:line="293" w:lineRule="auto"/>
        <w:rPr>
          <w:sz w:val="20"/>
          <w:szCs w:val="20"/>
          <w:color w:val="auto"/>
        </w:rPr>
      </w:pPr>
      <w:r>
        <w:rPr>
          <w:rFonts w:ascii="Arial" w:cs="Arial" w:eastAsia="Arial" w:hAnsi="Arial"/>
          <w:sz w:val="15"/>
          <w:szCs w:val="15"/>
          <w:color w:val="3C3C3B"/>
        </w:rPr>
        <w:t xml:space="preserve">G1090N (new formulation of NTZ) is now GENFIT's lead asset in ACLF, and the aim is now to deliver </w:t>
      </w:r>
      <w:r>
        <w:rPr>
          <w:rFonts w:ascii="Arial" w:cs="Arial" w:eastAsia="Arial" w:hAnsi="Arial"/>
          <w:sz w:val="15"/>
          <w:szCs w:val="15"/>
          <w:color w:val="000000"/>
        </w:rPr>
        <w:t>safety data and early markers of efficacy on healthy volunteers</w:t>
      </w:r>
      <w:r>
        <w:rPr>
          <w:rFonts w:ascii="Arial" w:cs="Arial" w:eastAsia="Arial" w:hAnsi="Arial"/>
          <w:sz w:val="15"/>
          <w:szCs w:val="15"/>
          <w:color w:val="3C3C3B"/>
        </w:rPr>
        <w:t xml:space="preserve"> </w:t>
      </w:r>
      <w:r>
        <w:rPr>
          <w:rFonts w:ascii="Arial" w:cs="Arial" w:eastAsia="Arial" w:hAnsi="Arial"/>
          <w:sz w:val="15"/>
          <w:szCs w:val="15"/>
          <w:color w:val="000000"/>
        </w:rPr>
        <w:t>by the end of the year.</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With regard to the GNS561 program in CCA, the aim is to continue with the on-going Phase 1b clinical trial and deliver data by the end of the year.</w:t>
      </w:r>
    </w:p>
    <w:p>
      <w:pPr>
        <w:spacing w:after="0" w:line="185" w:lineRule="exact"/>
        <w:rPr>
          <w:sz w:val="20"/>
          <w:szCs w:val="20"/>
          <w:color w:val="auto"/>
        </w:rPr>
      </w:pPr>
    </w:p>
    <w:p>
      <w:pPr>
        <w:jc w:val="both"/>
        <w:ind w:right="100" w:firstLine="318"/>
        <w:spacing w:after="0" w:line="266" w:lineRule="auto"/>
        <w:rPr>
          <w:sz w:val="20"/>
          <w:szCs w:val="20"/>
          <w:color w:val="auto"/>
        </w:rPr>
      </w:pPr>
      <w:r>
        <w:rPr>
          <w:rFonts w:ascii="Arial" w:cs="Arial" w:eastAsia="Arial" w:hAnsi="Arial"/>
          <w:sz w:val="15"/>
          <w:szCs w:val="15"/>
          <w:color w:val="3C3C3B"/>
        </w:rPr>
        <w:t>Following the discontinuation of our VS-01 program in ACLF, we anticipate a substantial reduction in our operating expenses. This will provide strategic flexibility, and extended cash runway might be used as a means to explore new mechanistic approaches through early-stage business development initiatives aiming to tackle the multiple dimensions of the urgent gaps in ACLF care.</w:t>
      </w:r>
    </w:p>
    <w:p>
      <w:pPr>
        <w:spacing w:after="0" w:line="197" w:lineRule="exact"/>
        <w:rPr>
          <w:sz w:val="20"/>
          <w:szCs w:val="20"/>
          <w:color w:val="auto"/>
        </w:rPr>
      </w:pPr>
    </w:p>
    <w:p>
      <w:pPr>
        <w:ind w:left="1580"/>
        <w:spacing w:after="0"/>
        <w:rPr>
          <w:sz w:val="20"/>
          <w:szCs w:val="20"/>
          <w:color w:val="auto"/>
        </w:rPr>
      </w:pPr>
      <w:r>
        <w:rPr>
          <w:rFonts w:ascii="Arial" w:cs="Arial" w:eastAsia="Arial" w:hAnsi="Arial"/>
          <w:sz w:val="21"/>
          <w:szCs w:val="21"/>
          <w:b w:val="1"/>
          <w:bCs w:val="1"/>
          <w:color w:val="005578"/>
        </w:rPr>
        <w:t>Impact on financial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8242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333"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5"/>
          <w:szCs w:val="15"/>
          <w:color w:val="3C3C3B"/>
        </w:rPr>
        <w:t>Following the discontinuation of our VS-01 program in ACLF, we anticipate a substantial reduction in our operating expenses. We expect that our existing cash and cash equivalents will enable us to fund our operating expenses and capital expenditure requirements beyond the end of 2028, enabling the Company to further develop its pipeline focused on Acute-on-Chronic Liver Failure (ACLF) and support general corporate purposes. This estimation is based on current assumptions and programs and does not include exceptional events. This estimation assumes i) our expectation to receive significant future commercial milestone revenue pursuant to the license agreement with Ipsen and Ipsen meeting its sales-based thresholds, ii) drawing down all additional installments under the Royalty Financing, and iii) the reimbursement at maturity in October 2025 of any OCEANEs not converted or repurchased and cancelled</w:t>
      </w:r>
      <w:r>
        <w:rPr>
          <w:rFonts w:ascii="Arial" w:cs="Arial" w:eastAsia="Arial" w:hAnsi="Arial"/>
          <w:sz w:val="19"/>
          <w:szCs w:val="19"/>
          <w:color w:val="3C3C3B"/>
          <w:vertAlign w:val="superscript"/>
        </w:rPr>
        <w:t>10</w:t>
      </w:r>
      <w:r>
        <w:rPr>
          <w:rFonts w:ascii="Arial" w:cs="Arial" w:eastAsia="Arial" w:hAnsi="Arial"/>
          <w:sz w:val="15"/>
          <w:szCs w:val="15"/>
          <w:color w:val="3C3C3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327660</wp:posOffset>
            </wp:positionV>
            <wp:extent cx="2221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21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60" w:hanging="154"/>
        <w:spacing w:after="0"/>
        <w:tabs>
          <w:tab w:leader="none" w:pos="160" w:val="left"/>
        </w:tabs>
        <w:numPr>
          <w:ilvl w:val="0"/>
          <w:numId w:val="26"/>
        </w:numPr>
        <w:rPr>
          <w:rFonts w:ascii="Arial" w:cs="Arial" w:eastAsia="Arial" w:hAnsi="Arial"/>
          <w:sz w:val="20"/>
          <w:szCs w:val="20"/>
          <w:color w:val="3C3C3B"/>
          <w:vertAlign w:val="superscript"/>
        </w:rPr>
      </w:pPr>
      <w:r>
        <w:rPr>
          <w:rFonts w:ascii="Arial" w:cs="Arial" w:eastAsia="Arial" w:hAnsi="Arial"/>
          <w:sz w:val="14"/>
          <w:szCs w:val="14"/>
          <w:i w:val="1"/>
          <w:iCs w:val="1"/>
          <w:color w:val="3C3C3B"/>
        </w:rPr>
        <w:t>For a total of €586 thousand as of the date of this report.</w:t>
      </w:r>
    </w:p>
    <w:p>
      <w:pPr>
        <w:spacing w:after="0" w:line="287" w:lineRule="exact"/>
        <w:rPr>
          <w:sz w:val="20"/>
          <w:szCs w:val="20"/>
          <w:color w:val="auto"/>
        </w:rPr>
      </w:pPr>
    </w:p>
    <w:tbl>
      <w:tblPr>
        <w:tblLayout w:type="fixed"/>
        <w:tblInd w:w="2830" w:type="dxa"/>
        <w:tblCellMar>
          <w:top w:w="0" w:type="dxa"/>
          <w:left w:w="0" w:type="dxa"/>
          <w:bottom w:w="0" w:type="dxa"/>
          <w:right w:w="0" w:type="dxa"/>
        </w:tblCellMar>
      </w:tblPr>
      <w:tr>
        <w:trPr>
          <w:trHeight w:val="146"/>
        </w:trPr>
        <w:tc>
          <w:tcPr>
            <w:tcW w:w="7880" w:type="dxa"/>
            <w:vAlign w:val="bottom"/>
            <w:tcBorders>
              <w:left w:val="single" w:sz="8" w:color="57879D"/>
            </w:tcBorders>
            <w:vMerge w:val="restart"/>
          </w:tcPr>
          <w:p>
            <w:pPr>
              <w:ind w:left="40"/>
              <w:spacing w:after="0"/>
              <w:rPr>
                <w:sz w:val="20"/>
                <w:szCs w:val="20"/>
                <w:color w:val="auto"/>
              </w:rPr>
            </w:pPr>
            <w:r>
              <w:rPr>
                <w:rFonts w:ascii="Arial" w:cs="Arial" w:eastAsia="Arial" w:hAnsi="Arial"/>
                <w:sz w:val="15"/>
                <w:szCs w:val="15"/>
                <w:color w:val="3C3C3B"/>
              </w:rPr>
              <w:t>Half-Year Business and Financial Report at June 30, 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7880" w:type="dxa"/>
            <w:vAlign w:val="bottom"/>
            <w:tcBorders>
              <w:left w:val="single" w:sz="8" w:color="57879D"/>
            </w:tcBorders>
            <w:vMerge w:val="continue"/>
          </w:tcPr>
          <w:p>
            <w:pPr>
              <w:spacing w:after="0"/>
              <w:rPr>
                <w:sz w:val="24"/>
                <w:szCs w:val="24"/>
                <w:color w:val="auto"/>
              </w:rPr>
            </w:pPr>
          </w:p>
        </w:tc>
        <w:tc>
          <w:tcPr>
            <w:tcW w:w="640" w:type="dxa"/>
            <w:vAlign w:val="bottom"/>
            <w:tcBorders>
              <w:bottom w:val="single" w:sz="8" w:color="DBDBDB"/>
            </w:tcBorders>
            <w:shd w:val="clear" w:color="auto" w:fill="DBDBDB"/>
          </w:tcPr>
          <w:p>
            <w:pPr>
              <w:jc w:val="right"/>
              <w:ind w:right="465"/>
              <w:spacing w:after="0"/>
              <w:rPr>
                <w:sz w:val="20"/>
                <w:szCs w:val="20"/>
                <w:color w:val="auto"/>
              </w:rPr>
            </w:pPr>
            <w:r>
              <w:rPr>
                <w:rFonts w:ascii="Arial" w:cs="Arial" w:eastAsia="Arial" w:hAnsi="Arial"/>
                <w:sz w:val="15"/>
                <w:szCs w:val="15"/>
                <w:color w:val="3C3C3B"/>
                <w:w w:val="95"/>
              </w:rPr>
              <w:t>9</w:t>
            </w:r>
          </w:p>
        </w:tc>
        <w:tc>
          <w:tcPr>
            <w:tcW w:w="0" w:type="dxa"/>
            <w:vAlign w:val="bottom"/>
          </w:tcPr>
          <w:p>
            <w:pPr>
              <w:spacing w:after="0"/>
              <w:rPr>
                <w:sz w:val="1"/>
                <w:szCs w:val="1"/>
                <w:color w:val="auto"/>
              </w:rPr>
            </w:pPr>
          </w:p>
        </w:tc>
      </w:tr>
      <w:tr>
        <w:trPr>
          <w:trHeight w:val="146"/>
        </w:trPr>
        <w:tc>
          <w:tcPr>
            <w:tcW w:w="7880" w:type="dxa"/>
            <w:vAlign w:val="bottom"/>
            <w:tcBorders>
              <w:left w:val="single" w:sz="8" w:color="57879D"/>
            </w:tcBorders>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-369570</wp:posOffset>
            </wp:positionV>
            <wp:extent cx="1094105" cy="277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94105" cy="277495"/>
                    </a:xfrm>
                    <a:prstGeom prst="rect">
                      <a:avLst/>
                    </a:prstGeom>
                    <a:noFill/>
                  </pic:spPr>
                </pic:pic>
              </a:graphicData>
            </a:graphic>
          </wp:anchor>
        </w:drawing>
      </w:r>
    </w:p>
    <w:p>
      <w:pPr>
        <w:sectPr>
          <w:pgSz w:w="11900" w:h="16838" w:orient="portrait"/>
          <w:cols w:equalWidth="0" w:num="1">
            <w:col w:w="11340"/>
          </w:cols>
          <w:pgMar w:left="320" w:top="1287" w:right="239" w:bottom="1440" w:gutter="0" w:footer="0" w:header="0"/>
        </w:sectPr>
      </w:pPr>
    </w:p>
    <w:bookmarkStart w:id="15" w:name="page16"/>
    <w:bookmarkEnd w:id="15"/>
    <w:p>
      <w:pPr>
        <w:ind w:left="500"/>
        <w:spacing w:after="0"/>
        <w:tabs>
          <w:tab w:leader="none" w:pos="1180" w:val="left"/>
        </w:tabs>
        <w:rPr>
          <w:sz w:val="20"/>
          <w:szCs w:val="20"/>
          <w:color w:val="auto"/>
        </w:rPr>
      </w:pPr>
      <w:r>
        <w:rPr>
          <w:rFonts w:ascii="Arial" w:cs="Arial" w:eastAsia="Arial" w:hAnsi="Arial"/>
          <w:sz w:val="28"/>
          <w:szCs w:val="28"/>
          <w:b w:val="1"/>
          <w:bCs w:val="1"/>
          <w:color w:val="57879D"/>
        </w:rPr>
        <w:t>2.3</w:t>
        <w:tab/>
        <w:t>Operating and Financial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7134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180" w:right="580" w:hanging="758"/>
        <w:spacing w:after="0" w:line="313" w:lineRule="auto"/>
        <w:tabs>
          <w:tab w:leader="none" w:pos="1160" w:val="left"/>
        </w:tabs>
        <w:rPr>
          <w:sz w:val="20"/>
          <w:szCs w:val="20"/>
          <w:color w:val="auto"/>
        </w:rPr>
      </w:pPr>
      <w:r>
        <w:rPr>
          <w:rFonts w:ascii="Arial" w:cs="Arial" w:eastAsia="Arial" w:hAnsi="Arial"/>
          <w:sz w:val="21"/>
          <w:szCs w:val="21"/>
          <w:b w:val="1"/>
          <w:bCs w:val="1"/>
          <w:color w:val="005578"/>
        </w:rPr>
        <w:t>2.3.1</w:t>
        <w:tab/>
        <w:t>Comments on the condensed statement of net income for the periods ended June 30, 2024 and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-53340</wp:posOffset>
            </wp:positionV>
            <wp:extent cx="7126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E99D25"/>
        </w:rPr>
        <w:t>Revenue and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266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Company’s revenue and other income mainly comprises revenue, the research tax credit, and other operating revenue.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ind w:left="20"/>
              <w:spacing w:after="0"/>
              <w:rPr>
                <w:sz w:val="20"/>
                <w:szCs w:val="20"/>
                <w:color w:val="auto"/>
              </w:rPr>
            </w:pPr>
            <w:r>
              <w:rPr>
                <w:rFonts w:ascii="Arial" w:cs="Arial" w:eastAsia="Arial" w:hAnsi="Arial"/>
                <w:sz w:val="12"/>
                <w:szCs w:val="12"/>
                <w:b w:val="1"/>
                <w:bCs w:val="1"/>
                <w:color w:val="auto"/>
              </w:rPr>
              <w:t>Revenues and other income</w:t>
            </w:r>
          </w:p>
        </w:tc>
        <w:tc>
          <w:tcPr>
            <w:tcW w:w="3900" w:type="dxa"/>
            <w:vAlign w:val="bottom"/>
          </w:tcPr>
          <w:p>
            <w:pPr>
              <w:jc w:val="right"/>
              <w:ind w:right="718"/>
              <w:spacing w:after="0"/>
              <w:rPr>
                <w:sz w:val="20"/>
                <w:szCs w:val="20"/>
                <w:color w:val="auto"/>
              </w:rPr>
            </w:pPr>
            <w:r>
              <w:rPr>
                <w:rFonts w:ascii="Arial" w:cs="Arial" w:eastAsia="Arial" w:hAnsi="Arial"/>
                <w:sz w:val="12"/>
                <w:szCs w:val="12"/>
                <w:b w:val="1"/>
                <w:bCs w:val="1"/>
                <w:color w:val="auto"/>
              </w:rPr>
              <w:t>Half-year ended</w:t>
            </w:r>
          </w:p>
        </w:tc>
        <w:tc>
          <w:tcPr>
            <w:tcW w:w="1420" w:type="dxa"/>
            <w:vAlign w:val="bottom"/>
          </w:tcPr>
          <w:p>
            <w:pPr>
              <w:spacing w:after="0"/>
              <w:rPr>
                <w:sz w:val="14"/>
                <w:szCs w:val="14"/>
                <w:color w:val="auto"/>
              </w:rPr>
            </w:pPr>
          </w:p>
        </w:tc>
      </w:tr>
      <w:tr>
        <w:trPr>
          <w:trHeight w:val="20"/>
        </w:trPr>
        <w:tc>
          <w:tcPr>
            <w:tcW w:w="5480" w:type="dxa"/>
            <w:vAlign w:val="bottom"/>
          </w:tcPr>
          <w:p>
            <w:pPr>
              <w:spacing w:after="0" w:line="20" w:lineRule="exact"/>
              <w:rPr>
                <w:sz w:val="1"/>
                <w:szCs w:val="1"/>
                <w:color w:val="auto"/>
              </w:rPr>
            </w:pPr>
          </w:p>
        </w:tc>
        <w:tc>
          <w:tcPr>
            <w:tcW w:w="3900" w:type="dxa"/>
            <w:vAlign w:val="bottom"/>
            <w:tcBorders>
              <w:bottom w:val="single" w:sz="8" w:color="242424"/>
            </w:tcBorders>
          </w:tcPr>
          <w:p>
            <w:pPr>
              <w:spacing w:after="0" w:line="20" w:lineRule="exact"/>
              <w:rPr>
                <w:sz w:val="1"/>
                <w:szCs w:val="1"/>
                <w:color w:val="auto"/>
              </w:rPr>
            </w:pPr>
          </w:p>
        </w:tc>
        <w:tc>
          <w:tcPr>
            <w:tcW w:w="1420" w:type="dxa"/>
            <w:vAlign w:val="bottom"/>
            <w:tcBorders>
              <w:bottom w:val="single" w:sz="8" w:color="242424"/>
            </w:tcBorders>
          </w:tcPr>
          <w:p>
            <w:pPr>
              <w:spacing w:after="0" w:line="20" w:lineRule="exact"/>
              <w:rPr>
                <w:sz w:val="1"/>
                <w:szCs w:val="1"/>
                <w:color w:val="auto"/>
              </w:rPr>
            </w:pPr>
          </w:p>
        </w:tc>
      </w:tr>
      <w:tr>
        <w:trPr>
          <w:trHeight w:val="172"/>
        </w:trPr>
        <w:tc>
          <w:tcPr>
            <w:tcW w:w="5480" w:type="dxa"/>
            <w:vAlign w:val="bottom"/>
          </w:tcPr>
          <w:p>
            <w:pPr>
              <w:ind w:left="20"/>
              <w:spacing w:after="0"/>
              <w:rPr>
                <w:sz w:val="20"/>
                <w:szCs w:val="20"/>
                <w:color w:val="auto"/>
              </w:rPr>
            </w:pPr>
            <w:r>
              <w:rPr>
                <w:rFonts w:ascii="Arial" w:cs="Arial" w:eastAsia="Arial" w:hAnsi="Arial"/>
                <w:sz w:val="12"/>
                <w:szCs w:val="12"/>
                <w:i w:val="1"/>
                <w:iCs w:val="1"/>
                <w:color w:val="auto"/>
              </w:rPr>
              <w:t>(in € thousands)</w:t>
            </w:r>
          </w:p>
        </w:tc>
        <w:tc>
          <w:tcPr>
            <w:tcW w:w="3900" w:type="dxa"/>
            <w:vAlign w:val="bottom"/>
          </w:tcPr>
          <w:p>
            <w:pPr>
              <w:jc w:val="right"/>
              <w:ind w:right="1198"/>
              <w:spacing w:after="0"/>
              <w:rPr>
                <w:sz w:val="20"/>
                <w:szCs w:val="20"/>
                <w:color w:val="auto"/>
              </w:rPr>
            </w:pPr>
            <w:r>
              <w:rPr>
                <w:rFonts w:ascii="Arial" w:cs="Arial" w:eastAsia="Arial" w:hAnsi="Arial"/>
                <w:sz w:val="12"/>
                <w:szCs w:val="12"/>
                <w:b w:val="1"/>
                <w:bCs w:val="1"/>
                <w:color w:val="auto"/>
              </w:rPr>
              <w:t>2024/06/30</w:t>
            </w:r>
          </w:p>
        </w:tc>
        <w:tc>
          <w:tcPr>
            <w:tcW w:w="142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5480" w:type="dxa"/>
            <w:vAlign w:val="bottom"/>
            <w:tcBorders>
              <w:bottom w:val="single" w:sz="8" w:color="242424"/>
            </w:tcBorders>
          </w:tcPr>
          <w:p>
            <w:pPr>
              <w:spacing w:after="0" w:line="20" w:lineRule="exact"/>
              <w:rPr>
                <w:sz w:val="1"/>
                <w:szCs w:val="1"/>
                <w:color w:val="auto"/>
              </w:rPr>
            </w:pPr>
          </w:p>
        </w:tc>
        <w:tc>
          <w:tcPr>
            <w:tcW w:w="3900" w:type="dxa"/>
            <w:vAlign w:val="bottom"/>
            <w:tcBorders>
              <w:bottom w:val="single" w:sz="8" w:color="242424"/>
            </w:tcBorders>
          </w:tcPr>
          <w:p>
            <w:pPr>
              <w:spacing w:after="0" w:line="20" w:lineRule="exact"/>
              <w:rPr>
                <w:sz w:val="1"/>
                <w:szCs w:val="1"/>
                <w:color w:val="auto"/>
              </w:rPr>
            </w:pPr>
          </w:p>
        </w:tc>
        <w:tc>
          <w:tcPr>
            <w:tcW w:w="1420" w:type="dxa"/>
            <w:vAlign w:val="bottom"/>
            <w:tcBorders>
              <w:bottom w:val="single" w:sz="8" w:color="242424"/>
            </w:tcBorders>
          </w:tcPr>
          <w:p>
            <w:pPr>
              <w:spacing w:after="0" w:line="20" w:lineRule="exact"/>
              <w:rPr>
                <w:sz w:val="1"/>
                <w:szCs w:val="1"/>
                <w:color w:val="auto"/>
              </w:rPr>
            </w:pPr>
          </w:p>
        </w:tc>
      </w:tr>
      <w:tr>
        <w:trPr>
          <w:trHeight w:val="172"/>
        </w:trPr>
        <w:tc>
          <w:tcPr>
            <w:tcW w:w="548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auto"/>
              </w:rPr>
              <w:t>Revenues</w:t>
            </w:r>
          </w:p>
        </w:tc>
        <w:tc>
          <w:tcPr>
            <w:tcW w:w="3900" w:type="dxa"/>
            <w:vAlign w:val="bottom"/>
            <w:tcBorders>
              <w:bottom w:val="single" w:sz="8" w:color="FDF5E7"/>
            </w:tcBorders>
            <w:shd w:val="clear" w:color="auto" w:fill="FDF5E7"/>
          </w:tcPr>
          <w:p>
            <w:pPr>
              <w:jc w:val="right"/>
              <w:ind w:right="1198"/>
              <w:spacing w:after="0"/>
              <w:rPr>
                <w:sz w:val="20"/>
                <w:szCs w:val="20"/>
                <w:color w:val="auto"/>
              </w:rPr>
            </w:pPr>
            <w:r>
              <w:rPr>
                <w:rFonts w:ascii="Arial" w:cs="Arial" w:eastAsia="Arial" w:hAnsi="Arial"/>
                <w:sz w:val="12"/>
                <w:szCs w:val="12"/>
                <w:color w:val="auto"/>
              </w:rPr>
              <w:t>58,973</w:t>
            </w:r>
          </w:p>
        </w:tc>
        <w:tc>
          <w:tcPr>
            <w:tcW w:w="14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33,488</w:t>
            </w:r>
          </w:p>
        </w:tc>
      </w:tr>
      <w:tr>
        <w:trPr>
          <w:trHeight w:val="173"/>
        </w:trPr>
        <w:tc>
          <w:tcPr>
            <w:tcW w:w="5480" w:type="dxa"/>
            <w:vAlign w:val="bottom"/>
          </w:tcPr>
          <w:p>
            <w:pPr>
              <w:ind w:left="20"/>
              <w:spacing w:after="0"/>
              <w:rPr>
                <w:sz w:val="20"/>
                <w:szCs w:val="20"/>
                <w:color w:val="auto"/>
              </w:rPr>
            </w:pPr>
            <w:r>
              <w:rPr>
                <w:rFonts w:ascii="Arial" w:cs="Arial" w:eastAsia="Arial" w:hAnsi="Arial"/>
                <w:sz w:val="12"/>
                <w:szCs w:val="12"/>
                <w:color w:val="auto"/>
              </w:rPr>
              <w:t>CIR tax credit</w:t>
            </w:r>
          </w:p>
        </w:tc>
        <w:tc>
          <w:tcPr>
            <w:tcW w:w="3900" w:type="dxa"/>
            <w:vAlign w:val="bottom"/>
          </w:tcPr>
          <w:p>
            <w:pPr>
              <w:jc w:val="right"/>
              <w:ind w:right="1198"/>
              <w:spacing w:after="0"/>
              <w:rPr>
                <w:sz w:val="20"/>
                <w:szCs w:val="20"/>
                <w:color w:val="auto"/>
              </w:rPr>
            </w:pPr>
            <w:r>
              <w:rPr>
                <w:rFonts w:ascii="Arial" w:cs="Arial" w:eastAsia="Arial" w:hAnsi="Arial"/>
                <w:sz w:val="12"/>
                <w:szCs w:val="12"/>
                <w:color w:val="auto"/>
              </w:rPr>
              <w:t>2,108</w:t>
            </w:r>
          </w:p>
        </w:tc>
        <w:tc>
          <w:tcPr>
            <w:tcW w:w="1420" w:type="dxa"/>
            <w:vAlign w:val="bottom"/>
          </w:tcPr>
          <w:p>
            <w:pPr>
              <w:jc w:val="right"/>
              <w:spacing w:after="0"/>
              <w:rPr>
                <w:sz w:val="20"/>
                <w:szCs w:val="20"/>
                <w:color w:val="auto"/>
              </w:rPr>
            </w:pPr>
            <w:r>
              <w:rPr>
                <w:rFonts w:ascii="Arial" w:cs="Arial" w:eastAsia="Arial" w:hAnsi="Arial"/>
                <w:sz w:val="12"/>
                <w:szCs w:val="12"/>
                <w:color w:val="auto"/>
              </w:rPr>
              <w:t>2,030</w:t>
            </w:r>
          </w:p>
        </w:tc>
      </w:tr>
      <w:tr>
        <w:trPr>
          <w:trHeight w:val="26"/>
        </w:trPr>
        <w:tc>
          <w:tcPr>
            <w:tcW w:w="54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79"/>
        </w:trPr>
        <w:tc>
          <w:tcPr>
            <w:tcW w:w="548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auto"/>
              </w:rPr>
              <w:t>Government grants and subsidies</w:t>
            </w:r>
          </w:p>
        </w:tc>
        <w:tc>
          <w:tcPr>
            <w:tcW w:w="3900" w:type="dxa"/>
            <w:vAlign w:val="bottom"/>
            <w:tcBorders>
              <w:bottom w:val="single" w:sz="8" w:color="FDF5E7"/>
            </w:tcBorders>
            <w:shd w:val="clear" w:color="auto" w:fill="FDF5E7"/>
          </w:tcPr>
          <w:p>
            <w:pPr>
              <w:jc w:val="right"/>
              <w:ind w:right="1198"/>
              <w:spacing w:after="0"/>
              <w:rPr>
                <w:sz w:val="20"/>
                <w:szCs w:val="20"/>
                <w:color w:val="auto"/>
              </w:rPr>
            </w:pPr>
            <w:r>
              <w:rPr>
                <w:rFonts w:ascii="Arial" w:cs="Arial" w:eastAsia="Arial" w:hAnsi="Arial"/>
                <w:sz w:val="12"/>
                <w:szCs w:val="12"/>
                <w:color w:val="auto"/>
              </w:rPr>
              <w:t>21</w:t>
            </w:r>
          </w:p>
        </w:tc>
        <w:tc>
          <w:tcPr>
            <w:tcW w:w="14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17</w:t>
            </w:r>
          </w:p>
        </w:tc>
      </w:tr>
      <w:tr>
        <w:trPr>
          <w:trHeight w:val="173"/>
        </w:trPr>
        <w:tc>
          <w:tcPr>
            <w:tcW w:w="5480" w:type="dxa"/>
            <w:vAlign w:val="bottom"/>
          </w:tcPr>
          <w:p>
            <w:pPr>
              <w:ind w:left="20"/>
              <w:spacing w:after="0"/>
              <w:rPr>
                <w:sz w:val="20"/>
                <w:szCs w:val="20"/>
                <w:color w:val="auto"/>
              </w:rPr>
            </w:pPr>
            <w:r>
              <w:rPr>
                <w:rFonts w:ascii="Arial" w:cs="Arial" w:eastAsia="Arial" w:hAnsi="Arial"/>
                <w:sz w:val="12"/>
                <w:szCs w:val="12"/>
                <w:color w:val="auto"/>
              </w:rPr>
              <w:t>Other operating income</w:t>
            </w:r>
          </w:p>
        </w:tc>
        <w:tc>
          <w:tcPr>
            <w:tcW w:w="3900" w:type="dxa"/>
            <w:vAlign w:val="bottom"/>
          </w:tcPr>
          <w:p>
            <w:pPr>
              <w:jc w:val="right"/>
              <w:ind w:right="1198"/>
              <w:spacing w:after="0"/>
              <w:rPr>
                <w:sz w:val="20"/>
                <w:szCs w:val="20"/>
                <w:color w:val="auto"/>
              </w:rPr>
            </w:pPr>
            <w:r>
              <w:rPr>
                <w:rFonts w:ascii="Arial" w:cs="Arial" w:eastAsia="Arial" w:hAnsi="Arial"/>
                <w:sz w:val="12"/>
                <w:szCs w:val="12"/>
                <w:color w:val="auto"/>
              </w:rPr>
              <w:t>97</w:t>
            </w:r>
          </w:p>
        </w:tc>
        <w:tc>
          <w:tcPr>
            <w:tcW w:w="1420" w:type="dxa"/>
            <w:vAlign w:val="bottom"/>
          </w:tcPr>
          <w:p>
            <w:pPr>
              <w:jc w:val="right"/>
              <w:spacing w:after="0"/>
              <w:rPr>
                <w:sz w:val="20"/>
                <w:szCs w:val="20"/>
                <w:color w:val="auto"/>
              </w:rPr>
            </w:pPr>
            <w:r>
              <w:rPr>
                <w:rFonts w:ascii="Arial" w:cs="Arial" w:eastAsia="Arial" w:hAnsi="Arial"/>
                <w:sz w:val="12"/>
                <w:szCs w:val="12"/>
                <w:color w:val="auto"/>
              </w:rPr>
              <w:t>135</w:t>
            </w:r>
          </w:p>
        </w:tc>
      </w:tr>
      <w:tr>
        <w:trPr>
          <w:trHeight w:val="26"/>
        </w:trPr>
        <w:tc>
          <w:tcPr>
            <w:tcW w:w="5480" w:type="dxa"/>
            <w:vAlign w:val="bottom"/>
            <w:tcBorders>
              <w:bottom w:val="single" w:sz="8" w:color="242424"/>
            </w:tcBorders>
          </w:tcPr>
          <w:p>
            <w:pPr>
              <w:spacing w:after="0"/>
              <w:rPr>
                <w:sz w:val="2"/>
                <w:szCs w:val="2"/>
                <w:color w:val="auto"/>
              </w:rPr>
            </w:pPr>
          </w:p>
        </w:tc>
        <w:tc>
          <w:tcPr>
            <w:tcW w:w="3900" w:type="dxa"/>
            <w:vAlign w:val="bottom"/>
            <w:tcBorders>
              <w:bottom w:val="single" w:sz="8" w:color="242424"/>
            </w:tcBorders>
          </w:tcPr>
          <w:p>
            <w:pPr>
              <w:spacing w:after="0"/>
              <w:rPr>
                <w:sz w:val="2"/>
                <w:szCs w:val="2"/>
                <w:color w:val="auto"/>
              </w:rPr>
            </w:pPr>
          </w:p>
        </w:tc>
        <w:tc>
          <w:tcPr>
            <w:tcW w:w="1420" w:type="dxa"/>
            <w:vAlign w:val="bottom"/>
            <w:tcBorders>
              <w:bottom w:val="single" w:sz="8" w:color="242424"/>
            </w:tcBorders>
          </w:tcPr>
          <w:p>
            <w:pPr>
              <w:spacing w:after="0"/>
              <w:rPr>
                <w:sz w:val="2"/>
                <w:szCs w:val="2"/>
                <w:color w:val="auto"/>
              </w:rPr>
            </w:pPr>
          </w:p>
        </w:tc>
      </w:tr>
      <w:tr>
        <w:trPr>
          <w:trHeight w:val="172"/>
        </w:trPr>
        <w:tc>
          <w:tcPr>
            <w:tcW w:w="5480" w:type="dxa"/>
            <w:vAlign w:val="bottom"/>
          </w:tcPr>
          <w:p>
            <w:pPr>
              <w:ind w:left="20"/>
              <w:spacing w:after="0"/>
              <w:rPr>
                <w:sz w:val="20"/>
                <w:szCs w:val="20"/>
                <w:color w:val="auto"/>
              </w:rPr>
            </w:pPr>
            <w:r>
              <w:rPr>
                <w:rFonts w:ascii="Arial" w:cs="Arial" w:eastAsia="Arial" w:hAnsi="Arial"/>
                <w:sz w:val="12"/>
                <w:szCs w:val="12"/>
                <w:b w:val="1"/>
                <w:bCs w:val="1"/>
                <w:color w:val="E79B3F"/>
              </w:rPr>
              <w:t>TOTAL</w:t>
            </w:r>
          </w:p>
        </w:tc>
        <w:tc>
          <w:tcPr>
            <w:tcW w:w="3900" w:type="dxa"/>
            <w:vAlign w:val="bottom"/>
          </w:tcPr>
          <w:p>
            <w:pPr>
              <w:jc w:val="right"/>
              <w:ind w:right="1198"/>
              <w:spacing w:after="0"/>
              <w:rPr>
                <w:sz w:val="20"/>
                <w:szCs w:val="20"/>
                <w:color w:val="auto"/>
              </w:rPr>
            </w:pPr>
            <w:r>
              <w:rPr>
                <w:rFonts w:ascii="Arial" w:cs="Arial" w:eastAsia="Arial" w:hAnsi="Arial"/>
                <w:sz w:val="12"/>
                <w:szCs w:val="12"/>
                <w:b w:val="1"/>
                <w:bCs w:val="1"/>
                <w:color w:val="E79B3F"/>
              </w:rPr>
              <w:t>61,199</w:t>
            </w:r>
          </w:p>
        </w:tc>
        <w:tc>
          <w:tcPr>
            <w:tcW w:w="1420" w:type="dxa"/>
            <w:vAlign w:val="bottom"/>
          </w:tcPr>
          <w:p>
            <w:pPr>
              <w:jc w:val="right"/>
              <w:spacing w:after="0"/>
              <w:rPr>
                <w:sz w:val="20"/>
                <w:szCs w:val="20"/>
                <w:color w:val="auto"/>
              </w:rPr>
            </w:pPr>
            <w:r>
              <w:rPr>
                <w:rFonts w:ascii="Arial" w:cs="Arial" w:eastAsia="Arial" w:hAnsi="Arial"/>
                <w:sz w:val="12"/>
                <w:szCs w:val="12"/>
                <w:b w:val="1"/>
                <w:bCs w:val="1"/>
                <w:color w:val="E79B3F"/>
              </w:rPr>
              <w:t>35,670</w:t>
            </w:r>
          </w:p>
        </w:tc>
      </w:tr>
      <w:tr>
        <w:trPr>
          <w:trHeight w:val="20"/>
        </w:trPr>
        <w:tc>
          <w:tcPr>
            <w:tcW w:w="5480" w:type="dxa"/>
            <w:vAlign w:val="bottom"/>
            <w:tcBorders>
              <w:bottom w:val="single" w:sz="8" w:color="242424"/>
            </w:tcBorders>
          </w:tcPr>
          <w:p>
            <w:pPr>
              <w:spacing w:after="0" w:line="20" w:lineRule="exact"/>
              <w:rPr>
                <w:sz w:val="1"/>
                <w:szCs w:val="1"/>
                <w:color w:val="auto"/>
              </w:rPr>
            </w:pPr>
          </w:p>
        </w:tc>
        <w:tc>
          <w:tcPr>
            <w:tcW w:w="3900" w:type="dxa"/>
            <w:vAlign w:val="bottom"/>
            <w:tcBorders>
              <w:bottom w:val="single" w:sz="8" w:color="242424"/>
            </w:tcBorders>
          </w:tcPr>
          <w:p>
            <w:pPr>
              <w:spacing w:after="0" w:line="20" w:lineRule="exact"/>
              <w:rPr>
                <w:sz w:val="1"/>
                <w:szCs w:val="1"/>
                <w:color w:val="auto"/>
              </w:rPr>
            </w:pPr>
          </w:p>
        </w:tc>
        <w:tc>
          <w:tcPr>
            <w:tcW w:w="1420" w:type="dxa"/>
            <w:vAlign w:val="bottom"/>
            <w:tcBorders>
              <w:bottom w:val="single" w:sz="8" w:color="242424"/>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Revenues are composed of:</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20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3360" w:type="dxa"/>
            <w:vAlign w:val="bottom"/>
            <w:tcBorders>
              <w:bottom w:val="single" w:sz="8" w:color="242424"/>
            </w:tcBorders>
          </w:tcPr>
          <w:p>
            <w:pPr>
              <w:jc w:val="right"/>
              <w:ind w:right="538"/>
              <w:spacing w:after="0"/>
              <w:rPr>
                <w:sz w:val="20"/>
                <w:szCs w:val="20"/>
                <w:color w:val="auto"/>
              </w:rPr>
            </w:pPr>
            <w:r>
              <w:rPr>
                <w:rFonts w:ascii="Arial" w:cs="Arial" w:eastAsia="Arial" w:hAnsi="Arial"/>
                <w:sz w:val="12"/>
                <w:szCs w:val="12"/>
                <w:b w:val="1"/>
                <w:bCs w:val="1"/>
                <w:color w:val="auto"/>
              </w:rPr>
              <w:t>Half-year ended</w:t>
            </w:r>
          </w:p>
        </w:tc>
        <w:tc>
          <w:tcPr>
            <w:tcW w:w="1240" w:type="dxa"/>
            <w:vAlign w:val="bottom"/>
            <w:tcBorders>
              <w:bottom w:val="single" w:sz="8" w:color="242424"/>
            </w:tcBorders>
          </w:tcPr>
          <w:p>
            <w:pPr>
              <w:spacing w:after="0"/>
              <w:rPr>
                <w:sz w:val="17"/>
                <w:szCs w:val="17"/>
                <w:color w:val="auto"/>
              </w:rPr>
            </w:pPr>
          </w:p>
        </w:tc>
      </w:tr>
      <w:tr>
        <w:trPr>
          <w:trHeight w:val="178"/>
        </w:trPr>
        <w:tc>
          <w:tcPr>
            <w:tcW w:w="6200" w:type="dxa"/>
            <w:vAlign w:val="bottom"/>
          </w:tcPr>
          <w:p>
            <w:pPr>
              <w:ind w:left="20"/>
              <w:spacing w:after="0"/>
              <w:rPr>
                <w:sz w:val="20"/>
                <w:szCs w:val="20"/>
                <w:color w:val="auto"/>
              </w:rPr>
            </w:pPr>
            <w:r>
              <w:rPr>
                <w:rFonts w:ascii="Arial" w:cs="Arial" w:eastAsia="Arial" w:hAnsi="Arial"/>
                <w:sz w:val="12"/>
                <w:szCs w:val="12"/>
                <w:i w:val="1"/>
                <w:iCs w:val="1"/>
                <w:color w:val="auto"/>
              </w:rPr>
              <w:t>(in € thousands)</w:t>
            </w:r>
          </w:p>
        </w:tc>
        <w:tc>
          <w:tcPr>
            <w:tcW w:w="3360" w:type="dxa"/>
            <w:vAlign w:val="bottom"/>
          </w:tcPr>
          <w:p>
            <w:pPr>
              <w:jc w:val="right"/>
              <w:ind w:right="1098"/>
              <w:spacing w:after="0"/>
              <w:rPr>
                <w:sz w:val="20"/>
                <w:szCs w:val="20"/>
                <w:color w:val="auto"/>
              </w:rPr>
            </w:pPr>
            <w:r>
              <w:rPr>
                <w:rFonts w:ascii="Arial" w:cs="Arial" w:eastAsia="Arial" w:hAnsi="Arial"/>
                <w:sz w:val="12"/>
                <w:szCs w:val="12"/>
                <w:b w:val="1"/>
                <w:bCs w:val="1"/>
                <w:color w:val="auto"/>
              </w:rPr>
              <w:t>2024/06/30</w:t>
            </w:r>
          </w:p>
        </w:tc>
        <w:tc>
          <w:tcPr>
            <w:tcW w:w="124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6200" w:type="dxa"/>
            <w:vAlign w:val="bottom"/>
            <w:tcBorders>
              <w:bottom w:val="single" w:sz="8" w:color="242424"/>
            </w:tcBorders>
          </w:tcPr>
          <w:p>
            <w:pPr>
              <w:spacing w:after="0" w:line="20" w:lineRule="exact"/>
              <w:rPr>
                <w:sz w:val="1"/>
                <w:szCs w:val="1"/>
                <w:color w:val="auto"/>
              </w:rPr>
            </w:pPr>
          </w:p>
        </w:tc>
        <w:tc>
          <w:tcPr>
            <w:tcW w:w="3360" w:type="dxa"/>
            <w:vAlign w:val="bottom"/>
            <w:tcBorders>
              <w:bottom w:val="single" w:sz="8" w:color="242424"/>
            </w:tcBorders>
          </w:tcPr>
          <w:p>
            <w:pPr>
              <w:spacing w:after="0" w:line="20" w:lineRule="exact"/>
              <w:rPr>
                <w:sz w:val="1"/>
                <w:szCs w:val="1"/>
                <w:color w:val="auto"/>
              </w:rPr>
            </w:pPr>
          </w:p>
        </w:tc>
        <w:tc>
          <w:tcPr>
            <w:tcW w:w="1240" w:type="dxa"/>
            <w:vAlign w:val="bottom"/>
            <w:tcBorders>
              <w:bottom w:val="single" w:sz="8" w:color="242424"/>
            </w:tcBorders>
          </w:tcPr>
          <w:p>
            <w:pPr>
              <w:spacing w:after="0" w:line="20" w:lineRule="exact"/>
              <w:rPr>
                <w:sz w:val="1"/>
                <w:szCs w:val="1"/>
                <w:color w:val="auto"/>
              </w:rPr>
            </w:pPr>
          </w:p>
        </w:tc>
      </w:tr>
      <w:tr>
        <w:trPr>
          <w:trHeight w:val="172"/>
        </w:trPr>
        <w:tc>
          <w:tcPr>
            <w:tcW w:w="620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auto"/>
              </w:rPr>
              <w:t>Royalty revenue</w:t>
            </w:r>
          </w:p>
        </w:tc>
        <w:tc>
          <w:tcPr>
            <w:tcW w:w="3360" w:type="dxa"/>
            <w:vAlign w:val="bottom"/>
            <w:tcBorders>
              <w:bottom w:val="single" w:sz="8" w:color="FDF5E7"/>
            </w:tcBorders>
            <w:shd w:val="clear" w:color="auto" w:fill="FDF5E7"/>
          </w:tcPr>
          <w:p>
            <w:pPr>
              <w:jc w:val="right"/>
              <w:ind w:right="1098"/>
              <w:spacing w:after="0"/>
              <w:rPr>
                <w:sz w:val="20"/>
                <w:szCs w:val="20"/>
                <w:color w:val="auto"/>
              </w:rPr>
            </w:pPr>
            <w:r>
              <w:rPr>
                <w:rFonts w:ascii="Arial" w:cs="Arial" w:eastAsia="Arial" w:hAnsi="Arial"/>
                <w:sz w:val="12"/>
                <w:szCs w:val="12"/>
                <w:color w:val="auto"/>
              </w:rPr>
              <w:t>154</w:t>
            </w:r>
          </w:p>
        </w:tc>
        <w:tc>
          <w:tcPr>
            <w:tcW w:w="12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6,871</w:t>
            </w:r>
          </w:p>
        </w:tc>
      </w:tr>
      <w:tr>
        <w:trPr>
          <w:trHeight w:val="173"/>
        </w:trPr>
        <w:tc>
          <w:tcPr>
            <w:tcW w:w="6200" w:type="dxa"/>
            <w:vAlign w:val="bottom"/>
          </w:tcPr>
          <w:p>
            <w:pPr>
              <w:ind w:left="20"/>
              <w:spacing w:after="0"/>
              <w:rPr>
                <w:sz w:val="20"/>
                <w:szCs w:val="20"/>
                <w:color w:val="auto"/>
              </w:rPr>
            </w:pPr>
            <w:r>
              <w:rPr>
                <w:rFonts w:ascii="Arial" w:cs="Arial" w:eastAsia="Arial" w:hAnsi="Arial"/>
                <w:sz w:val="12"/>
                <w:szCs w:val="12"/>
                <w:color w:val="auto"/>
              </w:rPr>
              <w:t>Milestone revenue</w:t>
            </w:r>
          </w:p>
        </w:tc>
        <w:tc>
          <w:tcPr>
            <w:tcW w:w="3360" w:type="dxa"/>
            <w:vAlign w:val="bottom"/>
          </w:tcPr>
          <w:p>
            <w:pPr>
              <w:jc w:val="right"/>
              <w:ind w:right="1098"/>
              <w:spacing w:after="0"/>
              <w:rPr>
                <w:sz w:val="20"/>
                <w:szCs w:val="20"/>
                <w:color w:val="auto"/>
              </w:rPr>
            </w:pPr>
            <w:r>
              <w:rPr>
                <w:rFonts w:ascii="Arial" w:cs="Arial" w:eastAsia="Arial" w:hAnsi="Arial"/>
                <w:sz w:val="12"/>
                <w:szCs w:val="12"/>
                <w:color w:val="auto"/>
              </w:rPr>
              <w:t>48,686</w:t>
            </w:r>
          </w:p>
        </w:tc>
        <w:tc>
          <w:tcPr>
            <w:tcW w:w="1240" w:type="dxa"/>
            <w:vAlign w:val="bottom"/>
          </w:tcPr>
          <w:p>
            <w:pPr>
              <w:jc w:val="right"/>
              <w:spacing w:after="0"/>
              <w:rPr>
                <w:sz w:val="20"/>
                <w:szCs w:val="20"/>
                <w:color w:val="auto"/>
              </w:rPr>
            </w:pPr>
            <w:r>
              <w:rPr>
                <w:rFonts w:ascii="Arial" w:cs="Arial" w:eastAsia="Arial" w:hAnsi="Arial"/>
                <w:sz w:val="12"/>
                <w:szCs w:val="12"/>
                <w:color w:val="auto"/>
              </w:rPr>
              <w:t>26,556</w:t>
            </w:r>
          </w:p>
        </w:tc>
      </w:tr>
      <w:tr>
        <w:trPr>
          <w:trHeight w:val="26"/>
        </w:trPr>
        <w:tc>
          <w:tcPr>
            <w:tcW w:w="62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79"/>
        </w:trPr>
        <w:tc>
          <w:tcPr>
            <w:tcW w:w="620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auto"/>
              </w:rPr>
              <w:t>Revenue initially deferred from the Licensing Agreement (Ipsen)</w:t>
            </w:r>
          </w:p>
        </w:tc>
        <w:tc>
          <w:tcPr>
            <w:tcW w:w="3360" w:type="dxa"/>
            <w:vAlign w:val="bottom"/>
            <w:tcBorders>
              <w:bottom w:val="single" w:sz="8" w:color="FDF5E7"/>
            </w:tcBorders>
            <w:shd w:val="clear" w:color="auto" w:fill="FDF5E7"/>
          </w:tcPr>
          <w:p>
            <w:pPr>
              <w:jc w:val="right"/>
              <w:ind w:right="1098"/>
              <w:spacing w:after="0"/>
              <w:rPr>
                <w:sz w:val="20"/>
                <w:szCs w:val="20"/>
                <w:color w:val="auto"/>
              </w:rPr>
            </w:pPr>
            <w:r>
              <w:rPr>
                <w:rFonts w:ascii="Arial" w:cs="Arial" w:eastAsia="Arial" w:hAnsi="Arial"/>
                <w:sz w:val="12"/>
                <w:szCs w:val="12"/>
                <w:color w:val="auto"/>
              </w:rPr>
              <w:t>9,354</w:t>
            </w:r>
          </w:p>
        </w:tc>
        <w:tc>
          <w:tcPr>
            <w:tcW w:w="12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0</w:t>
            </w:r>
          </w:p>
        </w:tc>
      </w:tr>
      <w:tr>
        <w:trPr>
          <w:trHeight w:val="173"/>
        </w:trPr>
        <w:tc>
          <w:tcPr>
            <w:tcW w:w="6200" w:type="dxa"/>
            <w:vAlign w:val="bottom"/>
          </w:tcPr>
          <w:p>
            <w:pPr>
              <w:ind w:left="20"/>
              <w:spacing w:after="0"/>
              <w:rPr>
                <w:sz w:val="20"/>
                <w:szCs w:val="20"/>
                <w:color w:val="auto"/>
              </w:rPr>
            </w:pPr>
            <w:r>
              <w:rPr>
                <w:rFonts w:ascii="Arial" w:cs="Arial" w:eastAsia="Arial" w:hAnsi="Arial"/>
                <w:sz w:val="12"/>
                <w:szCs w:val="12"/>
                <w:color w:val="auto"/>
              </w:rPr>
              <w:t>Revenue from the Part B Transition Services Agreement (Ipsen)</w:t>
            </w:r>
          </w:p>
        </w:tc>
        <w:tc>
          <w:tcPr>
            <w:tcW w:w="3360" w:type="dxa"/>
            <w:vAlign w:val="bottom"/>
          </w:tcPr>
          <w:p>
            <w:pPr>
              <w:jc w:val="right"/>
              <w:ind w:right="1098"/>
              <w:spacing w:after="0"/>
              <w:rPr>
                <w:sz w:val="20"/>
                <w:szCs w:val="20"/>
                <w:color w:val="auto"/>
              </w:rPr>
            </w:pPr>
            <w:r>
              <w:rPr>
                <w:rFonts w:ascii="Arial" w:cs="Arial" w:eastAsia="Arial" w:hAnsi="Arial"/>
                <w:sz w:val="12"/>
                <w:szCs w:val="12"/>
                <w:color w:val="auto"/>
              </w:rPr>
              <w:t>752</w:t>
            </w:r>
          </w:p>
        </w:tc>
        <w:tc>
          <w:tcPr>
            <w:tcW w:w="1240" w:type="dxa"/>
            <w:vAlign w:val="bottom"/>
          </w:tcPr>
          <w:p>
            <w:pPr>
              <w:jc w:val="right"/>
              <w:spacing w:after="0"/>
              <w:rPr>
                <w:sz w:val="20"/>
                <w:szCs w:val="20"/>
                <w:color w:val="auto"/>
              </w:rPr>
            </w:pPr>
            <w:r>
              <w:rPr>
                <w:rFonts w:ascii="Arial" w:cs="Arial" w:eastAsia="Arial" w:hAnsi="Arial"/>
                <w:sz w:val="12"/>
                <w:szCs w:val="12"/>
                <w:color w:val="auto"/>
              </w:rPr>
              <w:t>0</w:t>
            </w:r>
          </w:p>
        </w:tc>
      </w:tr>
      <w:tr>
        <w:trPr>
          <w:trHeight w:val="26"/>
        </w:trPr>
        <w:tc>
          <w:tcPr>
            <w:tcW w:w="62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79"/>
        </w:trPr>
        <w:tc>
          <w:tcPr>
            <w:tcW w:w="620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auto"/>
              </w:rPr>
              <w:t>Other revenue</w:t>
            </w:r>
          </w:p>
        </w:tc>
        <w:tc>
          <w:tcPr>
            <w:tcW w:w="3360" w:type="dxa"/>
            <w:vAlign w:val="bottom"/>
            <w:tcBorders>
              <w:bottom w:val="single" w:sz="8" w:color="FDF5E7"/>
            </w:tcBorders>
            <w:shd w:val="clear" w:color="auto" w:fill="FDF5E7"/>
          </w:tcPr>
          <w:p>
            <w:pPr>
              <w:jc w:val="right"/>
              <w:ind w:right="1098"/>
              <w:spacing w:after="0"/>
              <w:rPr>
                <w:sz w:val="20"/>
                <w:szCs w:val="20"/>
                <w:color w:val="auto"/>
              </w:rPr>
            </w:pPr>
            <w:r>
              <w:rPr>
                <w:rFonts w:ascii="Arial" w:cs="Arial" w:eastAsia="Arial" w:hAnsi="Arial"/>
                <w:sz w:val="12"/>
                <w:szCs w:val="12"/>
                <w:color w:val="auto"/>
              </w:rPr>
              <w:t>28</w:t>
            </w:r>
          </w:p>
        </w:tc>
        <w:tc>
          <w:tcPr>
            <w:tcW w:w="12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61</w:t>
            </w:r>
          </w:p>
        </w:tc>
      </w:tr>
      <w:tr>
        <w:trPr>
          <w:trHeight w:val="178"/>
        </w:trPr>
        <w:tc>
          <w:tcPr>
            <w:tcW w:w="6200" w:type="dxa"/>
            <w:vAlign w:val="bottom"/>
          </w:tcPr>
          <w:p>
            <w:pPr>
              <w:ind w:left="20"/>
              <w:spacing w:after="0"/>
              <w:rPr>
                <w:sz w:val="20"/>
                <w:szCs w:val="20"/>
                <w:color w:val="auto"/>
              </w:rPr>
            </w:pPr>
            <w:r>
              <w:rPr>
                <w:rFonts w:ascii="Arial" w:cs="Arial" w:eastAsia="Arial" w:hAnsi="Arial"/>
                <w:sz w:val="12"/>
                <w:szCs w:val="12"/>
                <w:b w:val="1"/>
                <w:bCs w:val="1"/>
                <w:color w:val="E79B3F"/>
              </w:rPr>
              <w:t>TOTAL</w:t>
            </w:r>
          </w:p>
        </w:tc>
        <w:tc>
          <w:tcPr>
            <w:tcW w:w="3360" w:type="dxa"/>
            <w:vAlign w:val="bottom"/>
          </w:tcPr>
          <w:p>
            <w:pPr>
              <w:jc w:val="right"/>
              <w:ind w:right="1098"/>
              <w:spacing w:after="0"/>
              <w:rPr>
                <w:sz w:val="20"/>
                <w:szCs w:val="20"/>
                <w:color w:val="auto"/>
              </w:rPr>
            </w:pPr>
            <w:r>
              <w:rPr>
                <w:rFonts w:ascii="Arial" w:cs="Arial" w:eastAsia="Arial" w:hAnsi="Arial"/>
                <w:sz w:val="12"/>
                <w:szCs w:val="12"/>
                <w:b w:val="1"/>
                <w:bCs w:val="1"/>
                <w:color w:val="E79B3F"/>
              </w:rPr>
              <w:t>58,973</w:t>
            </w:r>
          </w:p>
        </w:tc>
        <w:tc>
          <w:tcPr>
            <w:tcW w:w="1240" w:type="dxa"/>
            <w:vAlign w:val="bottom"/>
          </w:tcPr>
          <w:p>
            <w:pPr>
              <w:jc w:val="right"/>
              <w:spacing w:after="0"/>
              <w:rPr>
                <w:sz w:val="20"/>
                <w:szCs w:val="20"/>
                <w:color w:val="auto"/>
              </w:rPr>
            </w:pPr>
            <w:r>
              <w:rPr>
                <w:rFonts w:ascii="Arial" w:cs="Arial" w:eastAsia="Arial" w:hAnsi="Arial"/>
                <w:sz w:val="12"/>
                <w:szCs w:val="12"/>
                <w:b w:val="1"/>
                <w:bCs w:val="1"/>
                <w:color w:val="E79B3F"/>
              </w:rPr>
              <w:t>33,488</w:t>
            </w:r>
          </w:p>
        </w:tc>
      </w:tr>
      <w:tr>
        <w:trPr>
          <w:trHeight w:val="20"/>
        </w:trPr>
        <w:tc>
          <w:tcPr>
            <w:tcW w:w="6200" w:type="dxa"/>
            <w:vAlign w:val="bottom"/>
            <w:tcBorders>
              <w:bottom w:val="single" w:sz="8" w:color="242424"/>
            </w:tcBorders>
          </w:tcPr>
          <w:p>
            <w:pPr>
              <w:spacing w:after="0" w:line="20" w:lineRule="exact"/>
              <w:rPr>
                <w:sz w:val="1"/>
                <w:szCs w:val="1"/>
                <w:color w:val="auto"/>
              </w:rPr>
            </w:pPr>
          </w:p>
        </w:tc>
        <w:tc>
          <w:tcPr>
            <w:tcW w:w="3360" w:type="dxa"/>
            <w:vAlign w:val="bottom"/>
            <w:tcBorders>
              <w:bottom w:val="single" w:sz="8" w:color="242424"/>
            </w:tcBorders>
          </w:tcPr>
          <w:p>
            <w:pPr>
              <w:spacing w:after="0" w:line="20" w:lineRule="exact"/>
              <w:rPr>
                <w:sz w:val="1"/>
                <w:szCs w:val="1"/>
                <w:color w:val="auto"/>
              </w:rPr>
            </w:pPr>
          </w:p>
        </w:tc>
        <w:tc>
          <w:tcPr>
            <w:tcW w:w="1240" w:type="dxa"/>
            <w:vAlign w:val="bottom"/>
            <w:tcBorders>
              <w:bottom w:val="single" w:sz="8" w:color="242424"/>
            </w:tcBorders>
          </w:tcPr>
          <w:p>
            <w:pPr>
              <w:spacing w:after="0" w:line="20" w:lineRule="exact"/>
              <w:rPr>
                <w:sz w:val="1"/>
                <w:szCs w:val="1"/>
                <w:color w:val="auto"/>
              </w:rPr>
            </w:pPr>
          </w:p>
        </w:tc>
      </w:tr>
    </w:tbl>
    <w:p>
      <w:pPr>
        <w:spacing w:after="0" w:line="250"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Royalty revenue</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Royalty revenue is derived from sales of Ipsen's Iqirvo® (elafibranor). These are utilized to repay the Group's Royalty Financing agreement. See </w:t>
      </w:r>
      <w:r>
        <w:rPr>
          <w:rFonts w:ascii="Arial" w:cs="Arial" w:eastAsia="Arial" w:hAnsi="Arial"/>
          <w:sz w:val="15"/>
          <w:szCs w:val="15"/>
          <w:u w:val="single" w:color="auto"/>
          <w:color w:val="0000FF"/>
        </w:rPr>
        <w:t>Note 17 - Loans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and borrowings</w:t>
      </w:r>
      <w:r>
        <w:rPr>
          <w:rFonts w:ascii="Arial" w:cs="Arial" w:eastAsia="Arial" w:hAnsi="Arial"/>
          <w:sz w:val="15"/>
          <w:szCs w:val="15"/>
          <w:color w:val="000000"/>
        </w:rPr>
        <w: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Milestone revenue</w:t>
      </w:r>
    </w:p>
    <w:p>
      <w:pPr>
        <w:spacing w:after="0" w:line="183" w:lineRule="exact"/>
        <w:rPr>
          <w:sz w:val="20"/>
          <w:szCs w:val="20"/>
          <w:color w:val="auto"/>
        </w:rPr>
      </w:pPr>
    </w:p>
    <w:p>
      <w:pPr>
        <w:jc w:val="both"/>
        <w:ind w:right="100" w:firstLine="318"/>
        <w:spacing w:after="0" w:line="266" w:lineRule="auto"/>
        <w:rPr>
          <w:sz w:val="20"/>
          <w:szCs w:val="20"/>
          <w:color w:val="auto"/>
        </w:rPr>
      </w:pPr>
      <w:r>
        <w:rPr>
          <w:rFonts w:ascii="Arial" w:cs="Arial" w:eastAsia="Arial" w:hAnsi="Arial"/>
          <w:sz w:val="15"/>
          <w:szCs w:val="15"/>
          <w:color w:val="3C3C3B"/>
        </w:rPr>
        <w:t>On May 20, 2025, GENFIT announced that Ipsen’s Iqirvo® (elafibranor) was granted pricing and reimbursement in Italy for Primary Biliary Cholangitis (PBC), the third major European country to do so in addition to the UK and Germany. This third approval triggered a new milestone payment of €26.5 million under GENFIT's Licensing and Collaboration Agreement with Ipsen, due upon pricing and reimbursement of Iqirvo® (elafibranor) in three major European markets.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Other income is composed of:</w:t>
      </w:r>
    </w:p>
    <w:p>
      <w:pPr>
        <w:spacing w:after="0" w:line="167" w:lineRule="exact"/>
        <w:rPr>
          <w:sz w:val="20"/>
          <w:szCs w:val="20"/>
          <w:color w:val="auto"/>
        </w:rPr>
      </w:pPr>
    </w:p>
    <w:tbl>
      <w:tblPr>
        <w:tblLayout w:type="fixed"/>
        <w:tblInd w:w="320" w:type="dxa"/>
        <w:tblCellMar>
          <w:top w:w="0" w:type="dxa"/>
          <w:left w:w="0" w:type="dxa"/>
          <w:bottom w:w="0" w:type="dxa"/>
          <w:right w:w="0" w:type="dxa"/>
        </w:tblCellMar>
      </w:tblPr>
      <w:tr>
        <w:trPr>
          <w:trHeight w:val="201"/>
        </w:trPr>
        <w:tc>
          <w:tcPr>
            <w:tcW w:w="6980" w:type="dxa"/>
            <w:vAlign w:val="bottom"/>
          </w:tcPr>
          <w:p>
            <w:pPr>
              <w:ind w:left="20"/>
              <w:spacing w:after="0"/>
              <w:rPr>
                <w:sz w:val="20"/>
                <w:szCs w:val="20"/>
                <w:color w:val="auto"/>
              </w:rPr>
            </w:pPr>
            <w:r>
              <w:rPr>
                <w:rFonts w:ascii="Arial" w:cs="Arial" w:eastAsia="Arial" w:hAnsi="Arial"/>
                <w:sz w:val="14"/>
                <w:szCs w:val="14"/>
                <w:b w:val="1"/>
                <w:bCs w:val="1"/>
                <w:color w:val="3C3C3B"/>
              </w:rPr>
              <w:t>Other income</w:t>
            </w:r>
          </w:p>
        </w:tc>
        <w:tc>
          <w:tcPr>
            <w:tcW w:w="244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b w:val="1"/>
                <w:bCs w:val="1"/>
                <w:color w:val="3C3C3B"/>
              </w:rPr>
              <w:t>Half-year ended</w:t>
            </w:r>
          </w:p>
        </w:tc>
        <w:tc>
          <w:tcPr>
            <w:tcW w:w="940" w:type="dxa"/>
            <w:vAlign w:val="bottom"/>
            <w:tcBorders>
              <w:bottom w:val="single" w:sz="8" w:color="auto"/>
            </w:tcBorders>
          </w:tcPr>
          <w:p>
            <w:pPr>
              <w:spacing w:after="0"/>
              <w:rPr>
                <w:sz w:val="17"/>
                <w:szCs w:val="17"/>
                <w:color w:val="auto"/>
              </w:rPr>
            </w:pPr>
          </w:p>
        </w:tc>
      </w:tr>
      <w:tr>
        <w:trPr>
          <w:trHeight w:val="178"/>
        </w:trPr>
        <w:tc>
          <w:tcPr>
            <w:tcW w:w="698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2440" w:type="dxa"/>
            <w:vAlign w:val="bottom"/>
          </w:tcPr>
          <w:p>
            <w:pPr>
              <w:jc w:val="right"/>
              <w:ind w:right="778"/>
              <w:spacing w:after="0"/>
              <w:rPr>
                <w:sz w:val="20"/>
                <w:szCs w:val="20"/>
                <w:color w:val="auto"/>
              </w:rPr>
            </w:pPr>
            <w:r>
              <w:rPr>
                <w:rFonts w:ascii="Arial" w:cs="Arial" w:eastAsia="Arial" w:hAnsi="Arial"/>
                <w:sz w:val="12"/>
                <w:szCs w:val="12"/>
                <w:b w:val="1"/>
                <w:bCs w:val="1"/>
                <w:color w:val="3C3C3B"/>
              </w:rPr>
              <w:t>2024/06/30</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2"/>
        </w:trPr>
        <w:tc>
          <w:tcPr>
            <w:tcW w:w="698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CIR tax credit</w:t>
            </w:r>
          </w:p>
        </w:tc>
        <w:tc>
          <w:tcPr>
            <w:tcW w:w="2440" w:type="dxa"/>
            <w:vAlign w:val="bottom"/>
            <w:tcBorders>
              <w:bottom w:val="single" w:sz="8" w:color="FDF5E7"/>
            </w:tcBorders>
            <w:shd w:val="clear" w:color="auto" w:fill="FDF5E7"/>
          </w:tcPr>
          <w:p>
            <w:pPr>
              <w:jc w:val="right"/>
              <w:ind w:right="818"/>
              <w:spacing w:after="0"/>
              <w:rPr>
                <w:sz w:val="20"/>
                <w:szCs w:val="20"/>
                <w:color w:val="auto"/>
              </w:rPr>
            </w:pPr>
            <w:r>
              <w:rPr>
                <w:rFonts w:ascii="Arial" w:cs="Arial" w:eastAsia="Arial" w:hAnsi="Arial"/>
                <w:sz w:val="12"/>
                <w:szCs w:val="12"/>
                <w:color w:val="auto"/>
              </w:rPr>
              <w:t>2,108</w:t>
            </w: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2,030</w:t>
            </w:r>
          </w:p>
        </w:tc>
      </w:tr>
      <w:tr>
        <w:trPr>
          <w:trHeight w:val="173"/>
        </w:trPr>
        <w:tc>
          <w:tcPr>
            <w:tcW w:w="6980" w:type="dxa"/>
            <w:vAlign w:val="bottom"/>
          </w:tcPr>
          <w:p>
            <w:pPr>
              <w:ind w:left="20"/>
              <w:spacing w:after="0"/>
              <w:rPr>
                <w:sz w:val="20"/>
                <w:szCs w:val="20"/>
                <w:color w:val="auto"/>
              </w:rPr>
            </w:pPr>
            <w:r>
              <w:rPr>
                <w:rFonts w:ascii="Arial" w:cs="Arial" w:eastAsia="Arial" w:hAnsi="Arial"/>
                <w:sz w:val="12"/>
                <w:szCs w:val="12"/>
                <w:color w:val="3C3C3B"/>
              </w:rPr>
              <w:t>Other operating income (including exchange gains on trade payables and receivables)</w:t>
            </w:r>
          </w:p>
        </w:tc>
        <w:tc>
          <w:tcPr>
            <w:tcW w:w="2440" w:type="dxa"/>
            <w:vAlign w:val="bottom"/>
          </w:tcPr>
          <w:p>
            <w:pPr>
              <w:jc w:val="right"/>
              <w:ind w:right="818"/>
              <w:spacing w:after="0"/>
              <w:rPr>
                <w:sz w:val="20"/>
                <w:szCs w:val="20"/>
                <w:color w:val="auto"/>
              </w:rPr>
            </w:pPr>
            <w:r>
              <w:rPr>
                <w:rFonts w:ascii="Arial" w:cs="Arial" w:eastAsia="Arial" w:hAnsi="Arial"/>
                <w:sz w:val="12"/>
                <w:szCs w:val="12"/>
                <w:color w:val="auto"/>
              </w:rPr>
              <w:t>97</w:t>
            </w:r>
          </w:p>
        </w:tc>
        <w:tc>
          <w:tcPr>
            <w:tcW w:w="940" w:type="dxa"/>
            <w:vAlign w:val="bottom"/>
          </w:tcPr>
          <w:p>
            <w:pPr>
              <w:jc w:val="right"/>
              <w:spacing w:after="0"/>
              <w:rPr>
                <w:sz w:val="20"/>
                <w:szCs w:val="20"/>
                <w:color w:val="auto"/>
              </w:rPr>
            </w:pPr>
            <w:r>
              <w:rPr>
                <w:rFonts w:ascii="Arial" w:cs="Arial" w:eastAsia="Arial" w:hAnsi="Arial"/>
                <w:sz w:val="12"/>
                <w:szCs w:val="12"/>
                <w:color w:val="auto"/>
              </w:rPr>
              <w:t>135</w:t>
            </w:r>
          </w:p>
        </w:tc>
      </w:tr>
      <w:tr>
        <w:trPr>
          <w:trHeight w:val="26"/>
        </w:trPr>
        <w:tc>
          <w:tcPr>
            <w:tcW w:w="69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4"/>
        </w:trPr>
        <w:tc>
          <w:tcPr>
            <w:tcW w:w="698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Government grants and subsidies</w:t>
            </w:r>
          </w:p>
        </w:tc>
        <w:tc>
          <w:tcPr>
            <w:tcW w:w="2440" w:type="dxa"/>
            <w:vAlign w:val="bottom"/>
            <w:tcBorders>
              <w:bottom w:val="single" w:sz="8" w:color="FDF5E7"/>
            </w:tcBorders>
            <w:shd w:val="clear" w:color="auto" w:fill="FDF5E7"/>
          </w:tcPr>
          <w:p>
            <w:pPr>
              <w:jc w:val="right"/>
              <w:ind w:right="818"/>
              <w:spacing w:after="0"/>
              <w:rPr>
                <w:sz w:val="20"/>
                <w:szCs w:val="20"/>
                <w:color w:val="auto"/>
              </w:rPr>
            </w:pPr>
            <w:r>
              <w:rPr>
                <w:rFonts w:ascii="Arial" w:cs="Arial" w:eastAsia="Arial" w:hAnsi="Arial"/>
                <w:sz w:val="12"/>
                <w:szCs w:val="12"/>
                <w:color w:val="auto"/>
              </w:rPr>
              <w:t>21</w:t>
            </w: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17</w:t>
            </w:r>
          </w:p>
        </w:tc>
      </w:tr>
      <w:tr>
        <w:trPr>
          <w:trHeight w:val="212"/>
        </w:trPr>
        <w:tc>
          <w:tcPr>
            <w:tcW w:w="6980" w:type="dxa"/>
            <w:vAlign w:val="bottom"/>
            <w:tcBorders>
              <w:top w:val="single" w:sz="8" w:color="242424"/>
            </w:tcBorders>
          </w:tcPr>
          <w:p>
            <w:pPr>
              <w:ind w:left="20"/>
              <w:spacing w:after="0"/>
              <w:rPr>
                <w:sz w:val="20"/>
                <w:szCs w:val="20"/>
                <w:color w:val="auto"/>
              </w:rPr>
            </w:pPr>
            <w:r>
              <w:rPr>
                <w:rFonts w:ascii="Arial" w:cs="Arial" w:eastAsia="Arial" w:hAnsi="Arial"/>
                <w:sz w:val="15"/>
                <w:szCs w:val="15"/>
                <w:b w:val="1"/>
                <w:bCs w:val="1"/>
                <w:color w:val="E79B3F"/>
              </w:rPr>
              <w:t>TOTAL</w:t>
            </w:r>
          </w:p>
        </w:tc>
        <w:tc>
          <w:tcPr>
            <w:tcW w:w="2440" w:type="dxa"/>
            <w:vAlign w:val="bottom"/>
            <w:tcBorders>
              <w:top w:val="single" w:sz="8" w:color="242424"/>
            </w:tcBorders>
          </w:tcPr>
          <w:p>
            <w:pPr>
              <w:jc w:val="right"/>
              <w:ind w:right="818"/>
              <w:spacing w:after="0"/>
              <w:rPr>
                <w:sz w:val="20"/>
                <w:szCs w:val="20"/>
                <w:color w:val="auto"/>
              </w:rPr>
            </w:pPr>
            <w:r>
              <w:rPr>
                <w:rFonts w:ascii="Arial" w:cs="Arial" w:eastAsia="Arial" w:hAnsi="Arial"/>
                <w:sz w:val="12"/>
                <w:szCs w:val="12"/>
                <w:b w:val="1"/>
                <w:bCs w:val="1"/>
                <w:color w:val="E79B3F"/>
              </w:rPr>
              <w:t>2,226</w:t>
            </w:r>
          </w:p>
        </w:tc>
        <w:tc>
          <w:tcPr>
            <w:tcW w:w="940" w:type="dxa"/>
            <w:vAlign w:val="bottom"/>
            <w:tcBorders>
              <w:top w:val="single" w:sz="8" w:color="242424"/>
            </w:tcBorders>
          </w:tcPr>
          <w:p>
            <w:pPr>
              <w:jc w:val="right"/>
              <w:spacing w:after="0"/>
              <w:rPr>
                <w:sz w:val="20"/>
                <w:szCs w:val="20"/>
                <w:color w:val="auto"/>
              </w:rPr>
            </w:pPr>
            <w:r>
              <w:rPr>
                <w:rFonts w:ascii="Arial" w:cs="Arial" w:eastAsia="Arial" w:hAnsi="Arial"/>
                <w:sz w:val="12"/>
                <w:szCs w:val="12"/>
                <w:b w:val="1"/>
                <w:bCs w:val="1"/>
                <w:color w:val="E79B3F"/>
              </w:rPr>
              <w:t>2,182</w:t>
            </w:r>
          </w:p>
        </w:tc>
      </w:tr>
      <w:tr>
        <w:trPr>
          <w:trHeight w:val="20"/>
        </w:trPr>
        <w:tc>
          <w:tcPr>
            <w:tcW w:w="6980" w:type="dxa"/>
            <w:vAlign w:val="bottom"/>
            <w:tcBorders>
              <w:bottom w:val="single" w:sz="8" w:color="242424"/>
            </w:tcBorders>
          </w:tcPr>
          <w:p>
            <w:pPr>
              <w:spacing w:after="0" w:line="20" w:lineRule="exact"/>
              <w:rPr>
                <w:sz w:val="1"/>
                <w:szCs w:val="1"/>
                <w:color w:val="auto"/>
              </w:rPr>
            </w:pPr>
          </w:p>
        </w:tc>
        <w:tc>
          <w:tcPr>
            <w:tcW w:w="2440" w:type="dxa"/>
            <w:vAlign w:val="bottom"/>
            <w:tcBorders>
              <w:bottom w:val="single" w:sz="8" w:color="242424"/>
            </w:tcBorders>
          </w:tcPr>
          <w:p>
            <w:pPr>
              <w:spacing w:after="0" w:line="20" w:lineRule="exact"/>
              <w:rPr>
                <w:sz w:val="1"/>
                <w:szCs w:val="1"/>
                <w:color w:val="auto"/>
              </w:rPr>
            </w:pPr>
          </w:p>
        </w:tc>
        <w:tc>
          <w:tcPr>
            <w:tcW w:w="940" w:type="dxa"/>
            <w:vAlign w:val="bottom"/>
            <w:tcBorders>
              <w:bottom w:val="single" w:sz="8" w:color="242424"/>
            </w:tcBorders>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3C3C3B"/>
        </w:rPr>
        <w:t>CIR tax credit</w:t>
      </w:r>
    </w:p>
    <w:p>
      <w:pPr>
        <w:spacing w:after="0" w:line="197" w:lineRule="exact"/>
        <w:rPr>
          <w:sz w:val="20"/>
          <w:szCs w:val="20"/>
          <w:color w:val="auto"/>
        </w:rPr>
      </w:pPr>
    </w:p>
    <w:p>
      <w:pPr>
        <w:ind w:right="100" w:firstLine="318"/>
        <w:spacing w:after="0" w:line="293" w:lineRule="auto"/>
        <w:rPr>
          <w:sz w:val="20"/>
          <w:szCs w:val="20"/>
          <w:color w:val="auto"/>
        </w:rPr>
      </w:pPr>
      <w:r>
        <w:rPr>
          <w:rFonts w:ascii="Arial" w:cs="Arial" w:eastAsia="Arial" w:hAnsi="Arial"/>
          <w:sz w:val="15"/>
          <w:szCs w:val="15"/>
          <w:color w:val="3C3C3B"/>
        </w:rPr>
        <w:t>During the first six months of 2025, the research tax credit (CIR) amounted to €2,030 (€2,108 for the same period in 2024), due to a reduction in eligible research and development expenses.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3C3C3B"/>
        </w:rPr>
        <w:t>Other operating income</w:t>
      </w:r>
    </w:p>
    <w:p>
      <w:pPr>
        <w:spacing w:after="0" w:line="170" w:lineRule="exact"/>
        <w:rPr>
          <w:sz w:val="20"/>
          <w:szCs w:val="20"/>
          <w:color w:val="auto"/>
        </w:rPr>
      </w:pPr>
    </w:p>
    <w:p>
      <w:pPr>
        <w:ind w:right="100" w:firstLine="318"/>
        <w:spacing w:after="0" w:line="293" w:lineRule="auto"/>
        <w:rPr>
          <w:sz w:val="20"/>
          <w:szCs w:val="20"/>
          <w:color w:val="auto"/>
        </w:rPr>
      </w:pPr>
      <w:r>
        <w:rPr>
          <w:rFonts w:ascii="Arial" w:cs="Arial" w:eastAsia="Arial" w:hAnsi="Arial"/>
          <w:sz w:val="15"/>
          <w:szCs w:val="15"/>
          <w:color w:val="3C3C3B"/>
        </w:rPr>
        <w:t>During the first six months of 2025, the Group recognized €135 in “Other operating income” (€97 for the same period in 2024), mainly comprised of exchange gains on trade payables and trade receivables.</w:t>
      </w:r>
    </w:p>
    <w:p>
      <w:pPr>
        <w:spacing w:after="0" w:line="259" w:lineRule="exact"/>
        <w:rPr>
          <w:sz w:val="20"/>
          <w:szCs w:val="20"/>
          <w:color w:val="auto"/>
        </w:rPr>
      </w:pPr>
    </w:p>
    <w:tbl>
      <w:tblPr>
        <w:tblLayout w:type="fixed"/>
        <w:tblInd w:w="2830" w:type="dxa"/>
        <w:tblCellMar>
          <w:top w:w="0" w:type="dxa"/>
          <w:left w:w="0" w:type="dxa"/>
          <w:bottom w:w="0" w:type="dxa"/>
          <w:right w:w="0" w:type="dxa"/>
        </w:tblCellMar>
      </w:tblPr>
      <w:tr>
        <w:trPr>
          <w:trHeight w:val="146"/>
        </w:trPr>
        <w:tc>
          <w:tcPr>
            <w:tcW w:w="7880" w:type="dxa"/>
            <w:vAlign w:val="bottom"/>
            <w:tcBorders>
              <w:left w:val="single" w:sz="8" w:color="57879D"/>
            </w:tcBorders>
            <w:vMerge w:val="restart"/>
          </w:tcPr>
          <w:p>
            <w:pPr>
              <w:ind w:left="40"/>
              <w:spacing w:after="0"/>
              <w:rPr>
                <w:sz w:val="20"/>
                <w:szCs w:val="20"/>
                <w:color w:val="auto"/>
              </w:rPr>
            </w:pPr>
            <w:r>
              <w:rPr>
                <w:rFonts w:ascii="Arial" w:cs="Arial" w:eastAsia="Arial" w:hAnsi="Arial"/>
                <w:sz w:val="15"/>
                <w:szCs w:val="15"/>
                <w:color w:val="3C3C3B"/>
              </w:rPr>
              <w:t>Half-Year Business and Financial Report at June 30, 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7880" w:type="dxa"/>
            <w:vAlign w:val="bottom"/>
            <w:tcBorders>
              <w:left w:val="single" w:sz="8" w:color="57879D"/>
            </w:tcBorders>
            <w:vMerge w:val="continue"/>
          </w:tcPr>
          <w:p>
            <w:pPr>
              <w:spacing w:after="0"/>
              <w:rPr>
                <w:sz w:val="22"/>
                <w:szCs w:val="22"/>
                <w:color w:val="auto"/>
              </w:rPr>
            </w:pPr>
          </w:p>
        </w:tc>
        <w:tc>
          <w:tcPr>
            <w:tcW w:w="640" w:type="dxa"/>
            <w:vAlign w:val="bottom"/>
            <w:shd w:val="clear" w:color="auto" w:fill="DBDBDB"/>
          </w:tcPr>
          <w:p>
            <w:pPr>
              <w:jc w:val="right"/>
              <w:ind w:right="385"/>
              <w:spacing w:after="0"/>
              <w:rPr>
                <w:sz w:val="20"/>
                <w:szCs w:val="20"/>
                <w:color w:val="auto"/>
              </w:rPr>
            </w:pPr>
            <w:r>
              <w:rPr>
                <w:rFonts w:ascii="Arial" w:cs="Arial" w:eastAsia="Arial" w:hAnsi="Arial"/>
                <w:sz w:val="15"/>
                <w:szCs w:val="15"/>
                <w:color w:val="3C3C3B"/>
                <w:w w:val="95"/>
              </w:rPr>
              <w:t>10</w:t>
            </w:r>
          </w:p>
        </w:tc>
        <w:tc>
          <w:tcPr>
            <w:tcW w:w="0" w:type="dxa"/>
            <w:vAlign w:val="bottom"/>
          </w:tcPr>
          <w:p>
            <w:pPr>
              <w:spacing w:after="0"/>
              <w:rPr>
                <w:sz w:val="1"/>
                <w:szCs w:val="1"/>
                <w:color w:val="auto"/>
              </w:rPr>
            </w:pPr>
          </w:p>
        </w:tc>
      </w:tr>
      <w:tr>
        <w:trPr>
          <w:trHeight w:val="71"/>
        </w:trPr>
        <w:tc>
          <w:tcPr>
            <w:tcW w:w="7880" w:type="dxa"/>
            <w:vAlign w:val="bottom"/>
            <w:tcBorders>
              <w:left w:val="single" w:sz="8" w:color="57879D"/>
            </w:tcBorders>
          </w:tcPr>
          <w:p>
            <w:pPr>
              <w:spacing w:after="0"/>
              <w:rPr>
                <w:sz w:val="6"/>
                <w:szCs w:val="6"/>
                <w:color w:val="auto"/>
              </w:rPr>
            </w:pPr>
          </w:p>
        </w:tc>
        <w:tc>
          <w:tcPr>
            <w:tcW w:w="6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7880" w:type="dxa"/>
            <w:vAlign w:val="bottom"/>
            <w:tcBorders>
              <w:left w:val="single" w:sz="8" w:color="57879D"/>
            </w:tcBorders>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-369570</wp:posOffset>
            </wp:positionV>
            <wp:extent cx="1094105" cy="277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94105" cy="277495"/>
                    </a:xfrm>
                    <a:prstGeom prst="rect">
                      <a:avLst/>
                    </a:prstGeom>
                    <a:noFill/>
                  </pic:spPr>
                </pic:pic>
              </a:graphicData>
            </a:graphic>
          </wp:anchor>
        </w:drawing>
      </w:r>
    </w:p>
    <w:p>
      <w:pPr>
        <w:sectPr>
          <w:pgSz w:w="11900" w:h="16838" w:orient="portrait"/>
          <w:cols w:equalWidth="0" w:num="1">
            <w:col w:w="11340"/>
          </w:cols>
          <w:pgMar w:left="320" w:top="1273" w:right="239" w:bottom="1440" w:gutter="0" w:footer="0" w:header="0"/>
        </w:sectPr>
      </w:pPr>
    </w:p>
    <w:bookmarkStart w:id="16" w:name="page17"/>
    <w:bookmarkEnd w:id="16"/>
    <w:p>
      <w:pPr>
        <w:spacing w:after="0" w:line="18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E99D25"/>
        </w:rPr>
        <w:t>Operating Expenses by destination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266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293" w:lineRule="exact"/>
        <w:rPr>
          <w:sz w:val="20"/>
          <w:szCs w:val="20"/>
          <w:color w:val="auto"/>
        </w:rPr>
      </w:pPr>
    </w:p>
    <w:p>
      <w:pPr>
        <w:jc w:val="both"/>
        <w:ind w:right="100" w:firstLine="318"/>
        <w:spacing w:after="0" w:line="293" w:lineRule="auto"/>
        <w:rPr>
          <w:sz w:val="20"/>
          <w:szCs w:val="20"/>
          <w:color w:val="auto"/>
        </w:rPr>
      </w:pPr>
      <w:r>
        <w:rPr>
          <w:rFonts w:ascii="Arial" w:cs="Arial" w:eastAsia="Arial" w:hAnsi="Arial"/>
          <w:sz w:val="15"/>
          <w:szCs w:val="15"/>
          <w:color w:val="3C3C3B"/>
        </w:rPr>
        <w:t>The tables below break operating expenses down by destination, mainly into research and development expenses, general and administrative expenses, and marketing and market access expenses.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340" w:type="dxa"/>
            <w:vAlign w:val="bottom"/>
          </w:tcPr>
          <w:p>
            <w:pPr>
              <w:ind w:left="20"/>
              <w:spacing w:after="0"/>
              <w:rPr>
                <w:sz w:val="20"/>
                <w:szCs w:val="20"/>
                <w:color w:val="auto"/>
              </w:rPr>
            </w:pPr>
            <w:r>
              <w:rPr>
                <w:rFonts w:ascii="Arial" w:cs="Arial" w:eastAsia="Arial" w:hAnsi="Arial"/>
                <w:sz w:val="12"/>
                <w:szCs w:val="12"/>
                <w:b w:val="1"/>
                <w:bCs w:val="1"/>
                <w:color w:val="3C3C3B"/>
              </w:rPr>
              <w:t>Operating expenses and other</w:t>
            </w:r>
          </w:p>
        </w:tc>
        <w:tc>
          <w:tcPr>
            <w:tcW w:w="10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40" w:type="dxa"/>
            <w:vAlign w:val="bottom"/>
          </w:tcPr>
          <w:p>
            <w:pPr>
              <w:ind w:left="20"/>
              <w:spacing w:after="0"/>
              <w:rPr>
                <w:sz w:val="20"/>
                <w:szCs w:val="20"/>
                <w:color w:val="auto"/>
              </w:rPr>
            </w:pPr>
            <w:r>
              <w:rPr>
                <w:rFonts w:ascii="Arial" w:cs="Arial" w:eastAsia="Arial" w:hAnsi="Arial"/>
                <w:sz w:val="12"/>
                <w:szCs w:val="12"/>
                <w:b w:val="1"/>
                <w:bCs w:val="1"/>
                <w:color w:val="3C3C3B"/>
              </w:rPr>
              <w:t>operating income (expenses)</w:t>
            </w:r>
          </w:p>
        </w:tc>
        <w:tc>
          <w:tcPr>
            <w:tcW w:w="12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b w:val="1"/>
                <w:bCs w:val="1"/>
                <w:color w:val="auto"/>
              </w:rPr>
              <w:t>Half-year ended</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500" w:type="dxa"/>
            <w:vAlign w:val="bottom"/>
            <w:gridSpan w:val="2"/>
          </w:tcPr>
          <w:p>
            <w:pPr>
              <w:jc w:val="right"/>
              <w:ind w:right="1018"/>
              <w:spacing w:after="0"/>
              <w:rPr>
                <w:sz w:val="20"/>
                <w:szCs w:val="20"/>
                <w:color w:val="auto"/>
              </w:rPr>
            </w:pPr>
            <w:r>
              <w:rPr>
                <w:rFonts w:ascii="Arial" w:cs="Arial" w:eastAsia="Arial" w:hAnsi="Arial"/>
                <w:sz w:val="12"/>
                <w:szCs w:val="12"/>
                <w:b w:val="1"/>
                <w:bCs w:val="1"/>
                <w:color w:val="3C3C3B"/>
              </w:rPr>
              <w:t>Of which :</w:t>
            </w: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6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2024/06/30</w:t>
            </w:r>
          </w:p>
        </w:tc>
        <w:tc>
          <w:tcPr>
            <w:tcW w:w="1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2340" w:type="dxa"/>
            <w:vAlign w:val="bottom"/>
          </w:tcPr>
          <w:p>
            <w:pPr>
              <w:spacing w:after="0"/>
              <w:rPr>
                <w:sz w:val="14"/>
                <w:szCs w:val="14"/>
                <w:color w:val="auto"/>
              </w:rPr>
            </w:pPr>
          </w:p>
        </w:tc>
        <w:tc>
          <w:tcPr>
            <w:tcW w:w="1260" w:type="dxa"/>
            <w:vAlign w:val="bottom"/>
            <w:tcBorders>
              <w:right w:val="single" w:sz="8" w:color="auto"/>
            </w:tcBorders>
            <w:gridSpan w:val="2"/>
            <w:vMerge w:val="continue"/>
          </w:tcPr>
          <w:p>
            <w:pPr>
              <w:spacing w:after="0"/>
              <w:rPr>
                <w:sz w:val="14"/>
                <w:szCs w:val="14"/>
                <w:color w:val="auto"/>
              </w:rPr>
            </w:pPr>
          </w:p>
        </w:tc>
        <w:tc>
          <w:tcPr>
            <w:tcW w:w="1380" w:type="dxa"/>
            <w:vAlign w:val="bottom"/>
          </w:tcPr>
          <w:p>
            <w:pPr>
              <w:jc w:val="right"/>
              <w:ind w:right="158"/>
              <w:spacing w:after="0"/>
              <w:rPr>
                <w:sz w:val="20"/>
                <w:szCs w:val="20"/>
                <w:color w:val="auto"/>
              </w:rPr>
            </w:pPr>
            <w:r>
              <w:rPr>
                <w:rFonts w:ascii="Arial" w:cs="Arial" w:eastAsia="Arial" w:hAnsi="Arial"/>
                <w:sz w:val="12"/>
                <w:szCs w:val="12"/>
                <w:b w:val="1"/>
                <w:bCs w:val="1"/>
                <w:color w:val="3C3C3B"/>
              </w:rPr>
              <w:t>Raw</w:t>
            </w:r>
          </w:p>
        </w:tc>
        <w:tc>
          <w:tcPr>
            <w:tcW w:w="1280" w:type="dxa"/>
            <w:vAlign w:val="bottom"/>
          </w:tcPr>
          <w:p>
            <w:pPr>
              <w:jc w:val="right"/>
              <w:ind w:right="138"/>
              <w:spacing w:after="0"/>
              <w:rPr>
                <w:sz w:val="20"/>
                <w:szCs w:val="20"/>
                <w:color w:val="auto"/>
              </w:rPr>
            </w:pPr>
            <w:r>
              <w:rPr>
                <w:rFonts w:ascii="Arial" w:cs="Arial" w:eastAsia="Arial" w:hAnsi="Arial"/>
                <w:sz w:val="12"/>
                <w:szCs w:val="12"/>
                <w:b w:val="1"/>
                <w:bCs w:val="1"/>
                <w:color w:val="3C3C3B"/>
              </w:rPr>
              <w:t>Contracted</w:t>
            </w:r>
          </w:p>
        </w:tc>
        <w:tc>
          <w:tcPr>
            <w:tcW w:w="1320" w:type="dxa"/>
            <w:vAlign w:val="bottom"/>
          </w:tcPr>
          <w:p>
            <w:pPr>
              <w:jc w:val="right"/>
              <w:ind w:right="378"/>
              <w:spacing w:after="0"/>
              <w:rPr>
                <w:sz w:val="20"/>
                <w:szCs w:val="20"/>
                <w:color w:val="auto"/>
              </w:rPr>
            </w:pPr>
            <w:r>
              <w:rPr>
                <w:rFonts w:ascii="Arial" w:cs="Arial" w:eastAsia="Arial" w:hAnsi="Arial"/>
                <w:sz w:val="12"/>
                <w:szCs w:val="12"/>
                <w:b w:val="1"/>
                <w:bCs w:val="1"/>
                <w:color w:val="3C3C3B"/>
              </w:rPr>
              <w:t>Employee</w:t>
            </w:r>
          </w:p>
        </w:tc>
        <w:tc>
          <w:tcPr>
            <w:tcW w:w="1180" w:type="dxa"/>
            <w:vAlign w:val="bottom"/>
          </w:tcPr>
          <w:p>
            <w:pPr>
              <w:jc w:val="right"/>
              <w:ind w:right="198"/>
              <w:spacing w:after="0"/>
              <w:rPr>
                <w:sz w:val="20"/>
                <w:szCs w:val="20"/>
                <w:color w:val="auto"/>
              </w:rPr>
            </w:pPr>
            <w:r>
              <w:rPr>
                <w:rFonts w:ascii="Arial" w:cs="Arial" w:eastAsia="Arial" w:hAnsi="Arial"/>
                <w:sz w:val="12"/>
                <w:szCs w:val="12"/>
                <w:b w:val="1"/>
                <w:bCs w:val="1"/>
                <w:color w:val="3C3C3B"/>
              </w:rPr>
              <w:t>Other</w:t>
            </w:r>
          </w:p>
        </w:tc>
        <w:tc>
          <w:tcPr>
            <w:tcW w:w="1380" w:type="dxa"/>
            <w:vAlign w:val="bottom"/>
          </w:tcPr>
          <w:p>
            <w:pPr>
              <w:jc w:val="right"/>
              <w:ind w:right="198"/>
              <w:spacing w:after="0"/>
              <w:rPr>
                <w:sz w:val="20"/>
                <w:szCs w:val="20"/>
                <w:color w:val="auto"/>
              </w:rPr>
            </w:pPr>
            <w:r>
              <w:rPr>
                <w:rFonts w:ascii="Arial" w:cs="Arial" w:eastAsia="Arial" w:hAnsi="Arial"/>
                <w:sz w:val="12"/>
                <w:szCs w:val="12"/>
                <w:b w:val="1"/>
                <w:bCs w:val="1"/>
                <w:color w:val="3C3C3B"/>
              </w:rPr>
              <w:t>Depreciation,</w:t>
            </w:r>
          </w:p>
        </w:tc>
        <w:tc>
          <w:tcPr>
            <w:tcW w:w="10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3C3C3B"/>
              </w:rPr>
              <w:t>Gain /</w:t>
            </w:r>
          </w:p>
        </w:tc>
        <w:tc>
          <w:tcPr>
            <w:tcW w:w="0" w:type="dxa"/>
            <w:vAlign w:val="bottom"/>
          </w:tcPr>
          <w:p>
            <w:pPr>
              <w:spacing w:after="0"/>
              <w:rPr>
                <w:sz w:val="1"/>
                <w:szCs w:val="1"/>
                <w:color w:val="auto"/>
              </w:rPr>
            </w:pPr>
          </w:p>
        </w:tc>
      </w:tr>
      <w:tr>
        <w:trPr>
          <w:trHeight w:val="199"/>
        </w:trPr>
        <w:tc>
          <w:tcPr>
            <w:tcW w:w="2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380" w:type="dxa"/>
            <w:vAlign w:val="bottom"/>
          </w:tcPr>
          <w:p>
            <w:pPr>
              <w:jc w:val="right"/>
              <w:ind w:right="158"/>
              <w:spacing w:after="0"/>
              <w:rPr>
                <w:sz w:val="20"/>
                <w:szCs w:val="20"/>
                <w:color w:val="auto"/>
              </w:rPr>
            </w:pPr>
            <w:r>
              <w:rPr>
                <w:rFonts w:ascii="Arial" w:cs="Arial" w:eastAsia="Arial" w:hAnsi="Arial"/>
                <w:sz w:val="12"/>
                <w:szCs w:val="12"/>
                <w:b w:val="1"/>
                <w:bCs w:val="1"/>
                <w:color w:val="3C3C3B"/>
              </w:rPr>
              <w:t>materials</w:t>
            </w:r>
          </w:p>
        </w:tc>
        <w:tc>
          <w:tcPr>
            <w:tcW w:w="1280" w:type="dxa"/>
            <w:vAlign w:val="bottom"/>
          </w:tcPr>
          <w:p>
            <w:pPr>
              <w:jc w:val="right"/>
              <w:ind w:right="138"/>
              <w:spacing w:after="0"/>
              <w:rPr>
                <w:sz w:val="20"/>
                <w:szCs w:val="20"/>
                <w:color w:val="auto"/>
              </w:rPr>
            </w:pPr>
            <w:r>
              <w:rPr>
                <w:rFonts w:ascii="Arial" w:cs="Arial" w:eastAsia="Arial" w:hAnsi="Arial"/>
                <w:sz w:val="12"/>
                <w:szCs w:val="12"/>
                <w:b w:val="1"/>
                <w:bCs w:val="1"/>
                <w:color w:val="3C3C3B"/>
              </w:rPr>
              <w:t>research and</w:t>
            </w:r>
          </w:p>
        </w:tc>
        <w:tc>
          <w:tcPr>
            <w:tcW w:w="1320" w:type="dxa"/>
            <w:vAlign w:val="bottom"/>
          </w:tcPr>
          <w:p>
            <w:pPr>
              <w:jc w:val="right"/>
              <w:ind w:right="378"/>
              <w:spacing w:after="0"/>
              <w:rPr>
                <w:sz w:val="20"/>
                <w:szCs w:val="20"/>
                <w:color w:val="auto"/>
              </w:rPr>
            </w:pPr>
            <w:r>
              <w:rPr>
                <w:rFonts w:ascii="Arial" w:cs="Arial" w:eastAsia="Arial" w:hAnsi="Arial"/>
                <w:sz w:val="12"/>
                <w:szCs w:val="12"/>
                <w:b w:val="1"/>
                <w:bCs w:val="1"/>
                <w:color w:val="3C3C3B"/>
              </w:rPr>
              <w:t>expenses</w:t>
            </w:r>
          </w:p>
        </w:tc>
        <w:tc>
          <w:tcPr>
            <w:tcW w:w="1180" w:type="dxa"/>
            <w:vAlign w:val="bottom"/>
          </w:tcPr>
          <w:p>
            <w:pPr>
              <w:jc w:val="right"/>
              <w:ind w:right="198"/>
              <w:spacing w:after="0"/>
              <w:rPr>
                <w:sz w:val="20"/>
                <w:szCs w:val="20"/>
                <w:color w:val="auto"/>
              </w:rPr>
            </w:pPr>
            <w:r>
              <w:rPr>
                <w:rFonts w:ascii="Arial" w:cs="Arial" w:eastAsia="Arial" w:hAnsi="Arial"/>
                <w:sz w:val="12"/>
                <w:szCs w:val="12"/>
                <w:b w:val="1"/>
                <w:bCs w:val="1"/>
                <w:color w:val="3C3C3B"/>
              </w:rPr>
              <w:t>expenses</w:t>
            </w:r>
          </w:p>
        </w:tc>
        <w:tc>
          <w:tcPr>
            <w:tcW w:w="1380" w:type="dxa"/>
            <w:vAlign w:val="bottom"/>
          </w:tcPr>
          <w:p>
            <w:pPr>
              <w:jc w:val="right"/>
              <w:ind w:right="198"/>
              <w:spacing w:after="0"/>
              <w:rPr>
                <w:sz w:val="20"/>
                <w:szCs w:val="20"/>
                <w:color w:val="auto"/>
              </w:rPr>
            </w:pPr>
            <w:r>
              <w:rPr>
                <w:rFonts w:ascii="Arial" w:cs="Arial" w:eastAsia="Arial" w:hAnsi="Arial"/>
                <w:sz w:val="12"/>
                <w:szCs w:val="12"/>
                <w:b w:val="1"/>
                <w:bCs w:val="1"/>
                <w:color w:val="3C3C3B"/>
              </w:rPr>
              <w:t>amortization</w:t>
            </w:r>
          </w:p>
        </w:tc>
        <w:tc>
          <w:tcPr>
            <w:tcW w:w="10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3C3C3B"/>
              </w:rPr>
              <w:t>(loss) on</w:t>
            </w:r>
          </w:p>
        </w:tc>
        <w:tc>
          <w:tcPr>
            <w:tcW w:w="0" w:type="dxa"/>
            <w:vAlign w:val="bottom"/>
          </w:tcPr>
          <w:p>
            <w:pPr>
              <w:spacing w:after="0"/>
              <w:rPr>
                <w:sz w:val="1"/>
                <w:szCs w:val="1"/>
                <w:color w:val="auto"/>
              </w:rPr>
            </w:pPr>
          </w:p>
        </w:tc>
      </w:tr>
      <w:tr>
        <w:trPr>
          <w:trHeight w:val="199"/>
        </w:trPr>
        <w:tc>
          <w:tcPr>
            <w:tcW w:w="2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380" w:type="dxa"/>
            <w:vAlign w:val="bottom"/>
          </w:tcPr>
          <w:p>
            <w:pPr>
              <w:jc w:val="right"/>
              <w:ind w:right="158"/>
              <w:spacing w:after="0"/>
              <w:rPr>
                <w:sz w:val="20"/>
                <w:szCs w:val="20"/>
                <w:color w:val="auto"/>
              </w:rPr>
            </w:pPr>
            <w:r>
              <w:rPr>
                <w:rFonts w:ascii="Arial" w:cs="Arial" w:eastAsia="Arial" w:hAnsi="Arial"/>
                <w:sz w:val="12"/>
                <w:szCs w:val="12"/>
                <w:b w:val="1"/>
                <w:bCs w:val="1"/>
                <w:color w:val="3C3C3B"/>
              </w:rPr>
              <w:t>and</w:t>
            </w:r>
          </w:p>
        </w:tc>
        <w:tc>
          <w:tcPr>
            <w:tcW w:w="1280" w:type="dxa"/>
            <w:vAlign w:val="bottom"/>
          </w:tcPr>
          <w:p>
            <w:pPr>
              <w:jc w:val="right"/>
              <w:ind w:right="138"/>
              <w:spacing w:after="0"/>
              <w:rPr>
                <w:sz w:val="20"/>
                <w:szCs w:val="20"/>
                <w:color w:val="auto"/>
              </w:rPr>
            </w:pPr>
            <w:r>
              <w:rPr>
                <w:rFonts w:ascii="Arial" w:cs="Arial" w:eastAsia="Arial" w:hAnsi="Arial"/>
                <w:sz w:val="12"/>
                <w:szCs w:val="12"/>
                <w:b w:val="1"/>
                <w:bCs w:val="1"/>
                <w:color w:val="3C3C3B"/>
              </w:rPr>
              <w:t>development</w:t>
            </w:r>
          </w:p>
        </w:tc>
        <w:tc>
          <w:tcPr>
            <w:tcW w:w="1320" w:type="dxa"/>
            <w:vAlign w:val="bottom"/>
          </w:tcPr>
          <w:p>
            <w:pPr>
              <w:spacing w:after="0"/>
              <w:rPr>
                <w:sz w:val="17"/>
                <w:szCs w:val="17"/>
                <w:color w:val="auto"/>
              </w:rPr>
            </w:pPr>
          </w:p>
        </w:tc>
        <w:tc>
          <w:tcPr>
            <w:tcW w:w="1180" w:type="dxa"/>
            <w:vAlign w:val="bottom"/>
          </w:tcPr>
          <w:p>
            <w:pPr>
              <w:jc w:val="right"/>
              <w:ind w:right="198"/>
              <w:spacing w:after="0"/>
              <w:rPr>
                <w:sz w:val="20"/>
                <w:szCs w:val="20"/>
                <w:color w:val="auto"/>
              </w:rPr>
            </w:pPr>
            <w:r>
              <w:rPr>
                <w:rFonts w:ascii="Arial" w:cs="Arial" w:eastAsia="Arial" w:hAnsi="Arial"/>
                <w:sz w:val="12"/>
                <w:szCs w:val="12"/>
                <w:b w:val="1"/>
                <w:bCs w:val="1"/>
                <w:color w:val="3C3C3B"/>
              </w:rPr>
              <w:t>(maintenance,</w:t>
            </w:r>
          </w:p>
        </w:tc>
        <w:tc>
          <w:tcPr>
            <w:tcW w:w="1380" w:type="dxa"/>
            <w:vAlign w:val="bottom"/>
          </w:tcPr>
          <w:p>
            <w:pPr>
              <w:jc w:val="right"/>
              <w:ind w:right="198"/>
              <w:spacing w:after="0"/>
              <w:rPr>
                <w:sz w:val="20"/>
                <w:szCs w:val="20"/>
                <w:color w:val="auto"/>
              </w:rPr>
            </w:pPr>
            <w:r>
              <w:rPr>
                <w:rFonts w:ascii="Arial" w:cs="Arial" w:eastAsia="Arial" w:hAnsi="Arial"/>
                <w:sz w:val="12"/>
                <w:szCs w:val="12"/>
                <w:b w:val="1"/>
                <w:bCs w:val="1"/>
                <w:color w:val="3C3C3B"/>
              </w:rPr>
              <w:t>and</w:t>
            </w:r>
          </w:p>
        </w:tc>
        <w:tc>
          <w:tcPr>
            <w:tcW w:w="10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3C3C3B"/>
              </w:rPr>
              <w:t>disposal of</w:t>
            </w:r>
          </w:p>
        </w:tc>
        <w:tc>
          <w:tcPr>
            <w:tcW w:w="0" w:type="dxa"/>
            <w:vAlign w:val="bottom"/>
          </w:tcPr>
          <w:p>
            <w:pPr>
              <w:spacing w:after="0"/>
              <w:rPr>
                <w:sz w:val="1"/>
                <w:szCs w:val="1"/>
                <w:color w:val="auto"/>
              </w:rPr>
            </w:pPr>
          </w:p>
        </w:tc>
      </w:tr>
      <w:tr>
        <w:trPr>
          <w:trHeight w:val="199"/>
        </w:trPr>
        <w:tc>
          <w:tcPr>
            <w:tcW w:w="2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380" w:type="dxa"/>
            <w:vAlign w:val="bottom"/>
          </w:tcPr>
          <w:p>
            <w:pPr>
              <w:jc w:val="right"/>
              <w:ind w:right="158"/>
              <w:spacing w:after="0"/>
              <w:rPr>
                <w:sz w:val="20"/>
                <w:szCs w:val="20"/>
                <w:color w:val="auto"/>
              </w:rPr>
            </w:pPr>
            <w:r>
              <w:rPr>
                <w:rFonts w:ascii="Arial" w:cs="Arial" w:eastAsia="Arial" w:hAnsi="Arial"/>
                <w:sz w:val="12"/>
                <w:szCs w:val="12"/>
                <w:b w:val="1"/>
                <w:bCs w:val="1"/>
                <w:color w:val="3C3C3B"/>
              </w:rPr>
              <w:t>consumables</w:t>
            </w:r>
          </w:p>
        </w:tc>
        <w:tc>
          <w:tcPr>
            <w:tcW w:w="1280" w:type="dxa"/>
            <w:vAlign w:val="bottom"/>
          </w:tcPr>
          <w:p>
            <w:pPr>
              <w:jc w:val="right"/>
              <w:ind w:right="138"/>
              <w:spacing w:after="0"/>
              <w:rPr>
                <w:sz w:val="20"/>
                <w:szCs w:val="20"/>
                <w:color w:val="auto"/>
              </w:rPr>
            </w:pPr>
            <w:r>
              <w:rPr>
                <w:rFonts w:ascii="Arial" w:cs="Arial" w:eastAsia="Arial" w:hAnsi="Arial"/>
                <w:sz w:val="12"/>
                <w:szCs w:val="12"/>
                <w:b w:val="1"/>
                <w:bCs w:val="1"/>
                <w:color w:val="3C3C3B"/>
              </w:rPr>
              <w:t>activities</w:t>
            </w:r>
          </w:p>
        </w:tc>
        <w:tc>
          <w:tcPr>
            <w:tcW w:w="1320" w:type="dxa"/>
            <w:vAlign w:val="bottom"/>
          </w:tcPr>
          <w:p>
            <w:pPr>
              <w:spacing w:after="0"/>
              <w:rPr>
                <w:sz w:val="17"/>
                <w:szCs w:val="17"/>
                <w:color w:val="auto"/>
              </w:rPr>
            </w:pPr>
          </w:p>
        </w:tc>
        <w:tc>
          <w:tcPr>
            <w:tcW w:w="1180" w:type="dxa"/>
            <w:vAlign w:val="bottom"/>
          </w:tcPr>
          <w:p>
            <w:pPr>
              <w:jc w:val="right"/>
              <w:ind w:right="198"/>
              <w:spacing w:after="0"/>
              <w:rPr>
                <w:sz w:val="20"/>
                <w:szCs w:val="20"/>
                <w:color w:val="auto"/>
              </w:rPr>
            </w:pPr>
            <w:r>
              <w:rPr>
                <w:rFonts w:ascii="Arial" w:cs="Arial" w:eastAsia="Arial" w:hAnsi="Arial"/>
                <w:sz w:val="12"/>
                <w:szCs w:val="12"/>
                <w:b w:val="1"/>
                <w:bCs w:val="1"/>
                <w:color w:val="3C3C3B"/>
              </w:rPr>
              <w:t>fees, travel,</w:t>
            </w:r>
          </w:p>
        </w:tc>
        <w:tc>
          <w:tcPr>
            <w:tcW w:w="1380" w:type="dxa"/>
            <w:vAlign w:val="bottom"/>
          </w:tcPr>
          <w:p>
            <w:pPr>
              <w:jc w:val="right"/>
              <w:ind w:right="198"/>
              <w:spacing w:after="0"/>
              <w:rPr>
                <w:sz w:val="20"/>
                <w:szCs w:val="20"/>
                <w:color w:val="auto"/>
              </w:rPr>
            </w:pPr>
            <w:r>
              <w:rPr>
                <w:rFonts w:ascii="Arial" w:cs="Arial" w:eastAsia="Arial" w:hAnsi="Arial"/>
                <w:sz w:val="12"/>
                <w:szCs w:val="12"/>
                <w:b w:val="1"/>
                <w:bCs w:val="1"/>
                <w:color w:val="3C3C3B"/>
              </w:rPr>
              <w:t>impairment</w:t>
            </w:r>
          </w:p>
        </w:tc>
        <w:tc>
          <w:tcPr>
            <w:tcW w:w="10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3C3C3B"/>
              </w:rPr>
              <w:t>property,</w:t>
            </w:r>
          </w:p>
        </w:tc>
        <w:tc>
          <w:tcPr>
            <w:tcW w:w="0" w:type="dxa"/>
            <w:vAlign w:val="bottom"/>
          </w:tcPr>
          <w:p>
            <w:pPr>
              <w:spacing w:after="0"/>
              <w:rPr>
                <w:sz w:val="1"/>
                <w:szCs w:val="1"/>
                <w:color w:val="auto"/>
              </w:rPr>
            </w:pPr>
          </w:p>
        </w:tc>
      </w:tr>
      <w:tr>
        <w:trPr>
          <w:trHeight w:val="199"/>
        </w:trPr>
        <w:tc>
          <w:tcPr>
            <w:tcW w:w="2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380" w:type="dxa"/>
            <w:vAlign w:val="bottom"/>
          </w:tcPr>
          <w:p>
            <w:pPr>
              <w:jc w:val="right"/>
              <w:ind w:right="158"/>
              <w:spacing w:after="0"/>
              <w:rPr>
                <w:sz w:val="20"/>
                <w:szCs w:val="20"/>
                <w:color w:val="auto"/>
              </w:rPr>
            </w:pPr>
            <w:r>
              <w:rPr>
                <w:rFonts w:ascii="Arial" w:cs="Arial" w:eastAsia="Arial" w:hAnsi="Arial"/>
                <w:sz w:val="12"/>
                <w:szCs w:val="12"/>
                <w:b w:val="1"/>
                <w:bCs w:val="1"/>
                <w:color w:val="3C3C3B"/>
              </w:rPr>
              <w:t>used</w:t>
            </w:r>
          </w:p>
        </w:tc>
        <w:tc>
          <w:tcPr>
            <w:tcW w:w="1280" w:type="dxa"/>
            <w:vAlign w:val="bottom"/>
          </w:tcPr>
          <w:p>
            <w:pPr>
              <w:jc w:val="right"/>
              <w:ind w:right="138"/>
              <w:spacing w:after="0"/>
              <w:rPr>
                <w:sz w:val="20"/>
                <w:szCs w:val="20"/>
                <w:color w:val="auto"/>
              </w:rPr>
            </w:pPr>
            <w:r>
              <w:rPr>
                <w:rFonts w:ascii="Arial" w:cs="Arial" w:eastAsia="Arial" w:hAnsi="Arial"/>
                <w:sz w:val="12"/>
                <w:szCs w:val="12"/>
                <w:b w:val="1"/>
                <w:bCs w:val="1"/>
                <w:color w:val="3C3C3B"/>
              </w:rPr>
              <w:t>conducted by</w:t>
            </w:r>
          </w:p>
        </w:tc>
        <w:tc>
          <w:tcPr>
            <w:tcW w:w="1320" w:type="dxa"/>
            <w:vAlign w:val="bottom"/>
          </w:tcPr>
          <w:p>
            <w:pPr>
              <w:spacing w:after="0"/>
              <w:rPr>
                <w:sz w:val="17"/>
                <w:szCs w:val="17"/>
                <w:color w:val="auto"/>
              </w:rPr>
            </w:pPr>
          </w:p>
        </w:tc>
        <w:tc>
          <w:tcPr>
            <w:tcW w:w="1180" w:type="dxa"/>
            <w:vAlign w:val="bottom"/>
          </w:tcPr>
          <w:p>
            <w:pPr>
              <w:jc w:val="right"/>
              <w:ind w:right="198"/>
              <w:spacing w:after="0"/>
              <w:rPr>
                <w:sz w:val="20"/>
                <w:szCs w:val="20"/>
                <w:color w:val="auto"/>
              </w:rPr>
            </w:pPr>
            <w:r>
              <w:rPr>
                <w:rFonts w:ascii="Arial" w:cs="Arial" w:eastAsia="Arial" w:hAnsi="Arial"/>
                <w:sz w:val="12"/>
                <w:szCs w:val="12"/>
                <w:b w:val="1"/>
                <w:bCs w:val="1"/>
                <w:color w:val="3C3C3B"/>
              </w:rPr>
              <w:t>taxes…)</w:t>
            </w:r>
          </w:p>
        </w:tc>
        <w:tc>
          <w:tcPr>
            <w:tcW w:w="1380" w:type="dxa"/>
            <w:vAlign w:val="bottom"/>
          </w:tcPr>
          <w:p>
            <w:pPr>
              <w:jc w:val="right"/>
              <w:ind w:right="198"/>
              <w:spacing w:after="0"/>
              <w:rPr>
                <w:sz w:val="20"/>
                <w:szCs w:val="20"/>
                <w:color w:val="auto"/>
              </w:rPr>
            </w:pPr>
            <w:r>
              <w:rPr>
                <w:rFonts w:ascii="Arial" w:cs="Arial" w:eastAsia="Arial" w:hAnsi="Arial"/>
                <w:sz w:val="12"/>
                <w:szCs w:val="12"/>
                <w:b w:val="1"/>
                <w:bCs w:val="1"/>
                <w:color w:val="3C3C3B"/>
              </w:rPr>
              <w:t>charges</w:t>
            </w:r>
          </w:p>
        </w:tc>
        <w:tc>
          <w:tcPr>
            <w:tcW w:w="10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3C3C3B"/>
              </w:rPr>
              <w:t>plant and</w:t>
            </w:r>
          </w:p>
        </w:tc>
        <w:tc>
          <w:tcPr>
            <w:tcW w:w="0" w:type="dxa"/>
            <w:vAlign w:val="bottom"/>
          </w:tcPr>
          <w:p>
            <w:pPr>
              <w:spacing w:after="0"/>
              <w:rPr>
                <w:sz w:val="1"/>
                <w:szCs w:val="1"/>
                <w:color w:val="auto"/>
              </w:rPr>
            </w:pPr>
          </w:p>
        </w:tc>
      </w:tr>
      <w:tr>
        <w:trPr>
          <w:trHeight w:val="199"/>
        </w:trPr>
        <w:tc>
          <w:tcPr>
            <w:tcW w:w="234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10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380" w:type="dxa"/>
            <w:vAlign w:val="bottom"/>
          </w:tcPr>
          <w:p>
            <w:pPr>
              <w:spacing w:after="0"/>
              <w:rPr>
                <w:sz w:val="17"/>
                <w:szCs w:val="17"/>
                <w:color w:val="auto"/>
              </w:rPr>
            </w:pPr>
          </w:p>
        </w:tc>
        <w:tc>
          <w:tcPr>
            <w:tcW w:w="1280" w:type="dxa"/>
            <w:vAlign w:val="bottom"/>
          </w:tcPr>
          <w:p>
            <w:pPr>
              <w:jc w:val="right"/>
              <w:ind w:right="138"/>
              <w:spacing w:after="0"/>
              <w:rPr>
                <w:sz w:val="20"/>
                <w:szCs w:val="20"/>
                <w:color w:val="auto"/>
              </w:rPr>
            </w:pPr>
            <w:r>
              <w:rPr>
                <w:rFonts w:ascii="Arial" w:cs="Arial" w:eastAsia="Arial" w:hAnsi="Arial"/>
                <w:sz w:val="12"/>
                <w:szCs w:val="12"/>
                <w:b w:val="1"/>
                <w:bCs w:val="1"/>
                <w:color w:val="3C3C3B"/>
              </w:rPr>
              <w:t>third parties</w:t>
            </w: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3C3C3B"/>
              </w:rPr>
              <w:t>equipment</w:t>
            </w:r>
          </w:p>
        </w:tc>
        <w:tc>
          <w:tcPr>
            <w:tcW w:w="0" w:type="dxa"/>
            <w:vAlign w:val="bottom"/>
          </w:tcPr>
          <w:p>
            <w:pPr>
              <w:spacing w:after="0"/>
              <w:rPr>
                <w:sz w:val="1"/>
                <w:szCs w:val="1"/>
                <w:color w:val="auto"/>
              </w:rPr>
            </w:pP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234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Research and development expenses</w:t>
            </w:r>
          </w:p>
        </w:tc>
        <w:tc>
          <w:tcPr>
            <w:tcW w:w="1260" w:type="dxa"/>
            <w:vAlign w:val="bottom"/>
            <w:tcBorders>
              <w:bottom w:val="single" w:sz="8" w:color="FDF5E7"/>
              <w:right w:val="single" w:sz="8" w:color="auto"/>
            </w:tcBorders>
            <w:gridSpan w:val="2"/>
            <w:shd w:val="clear" w:color="auto" w:fill="FDF5E7"/>
          </w:tcPr>
          <w:p>
            <w:pPr>
              <w:jc w:val="right"/>
              <w:ind w:right="140"/>
              <w:spacing w:after="0"/>
              <w:rPr>
                <w:sz w:val="20"/>
                <w:szCs w:val="20"/>
                <w:color w:val="auto"/>
              </w:rPr>
            </w:pPr>
            <w:r>
              <w:rPr>
                <w:rFonts w:ascii="Arial" w:cs="Arial" w:eastAsia="Arial" w:hAnsi="Arial"/>
                <w:sz w:val="12"/>
                <w:szCs w:val="12"/>
                <w:color w:val="auto"/>
              </w:rPr>
              <w:t>(18,984)</w:t>
            </w:r>
          </w:p>
        </w:tc>
        <w:tc>
          <w:tcPr>
            <w:tcW w:w="1380" w:type="dxa"/>
            <w:vAlign w:val="bottom"/>
            <w:tcBorders>
              <w:bottom w:val="single" w:sz="8" w:color="FDF5E7"/>
            </w:tcBorders>
            <w:shd w:val="clear" w:color="auto" w:fill="FDF5E7"/>
          </w:tcPr>
          <w:p>
            <w:pPr>
              <w:jc w:val="right"/>
              <w:ind w:right="178"/>
              <w:spacing w:after="0"/>
              <w:rPr>
                <w:sz w:val="20"/>
                <w:szCs w:val="20"/>
                <w:color w:val="auto"/>
              </w:rPr>
            </w:pPr>
            <w:r>
              <w:rPr>
                <w:rFonts w:ascii="Arial" w:cs="Arial" w:eastAsia="Arial" w:hAnsi="Arial"/>
                <w:sz w:val="12"/>
                <w:szCs w:val="12"/>
                <w:color w:val="auto"/>
              </w:rPr>
              <w:t>(1,056)</w:t>
            </w:r>
          </w:p>
        </w:tc>
        <w:tc>
          <w:tcPr>
            <w:tcW w:w="1280" w:type="dxa"/>
            <w:vAlign w:val="bottom"/>
            <w:tcBorders>
              <w:bottom w:val="single" w:sz="8" w:color="FDF5E7"/>
            </w:tcBorders>
            <w:shd w:val="clear" w:color="auto" w:fill="FDF5E7"/>
          </w:tcPr>
          <w:p>
            <w:pPr>
              <w:jc w:val="right"/>
              <w:ind w:right="158"/>
              <w:spacing w:after="0"/>
              <w:rPr>
                <w:sz w:val="20"/>
                <w:szCs w:val="20"/>
                <w:color w:val="auto"/>
              </w:rPr>
            </w:pPr>
            <w:r>
              <w:rPr>
                <w:rFonts w:ascii="Arial" w:cs="Arial" w:eastAsia="Arial" w:hAnsi="Arial"/>
                <w:sz w:val="12"/>
                <w:szCs w:val="12"/>
                <w:color w:val="auto"/>
              </w:rPr>
              <w:t>(7,838)</w:t>
            </w:r>
          </w:p>
        </w:tc>
        <w:tc>
          <w:tcPr>
            <w:tcW w:w="1320" w:type="dxa"/>
            <w:vAlign w:val="bottom"/>
            <w:tcBorders>
              <w:bottom w:val="single" w:sz="8" w:color="FDF5E7"/>
            </w:tcBorders>
            <w:shd w:val="clear" w:color="auto" w:fill="FDF5E7"/>
          </w:tcPr>
          <w:p>
            <w:pPr>
              <w:jc w:val="right"/>
              <w:ind w:right="398"/>
              <w:spacing w:after="0"/>
              <w:rPr>
                <w:sz w:val="20"/>
                <w:szCs w:val="20"/>
                <w:color w:val="auto"/>
              </w:rPr>
            </w:pPr>
            <w:r>
              <w:rPr>
                <w:rFonts w:ascii="Arial" w:cs="Arial" w:eastAsia="Arial" w:hAnsi="Arial"/>
                <w:sz w:val="12"/>
                <w:szCs w:val="12"/>
                <w:color w:val="auto"/>
              </w:rPr>
              <w:t>(6,610)</w:t>
            </w:r>
          </w:p>
        </w:tc>
        <w:tc>
          <w:tcPr>
            <w:tcW w:w="1180" w:type="dxa"/>
            <w:vAlign w:val="bottom"/>
            <w:tcBorders>
              <w:bottom w:val="single" w:sz="8" w:color="FDF5E7"/>
            </w:tcBorders>
            <w:shd w:val="clear" w:color="auto" w:fill="FDF5E7"/>
          </w:tcPr>
          <w:p>
            <w:pPr>
              <w:jc w:val="right"/>
              <w:ind w:right="198"/>
              <w:spacing w:after="0"/>
              <w:rPr>
                <w:sz w:val="20"/>
                <w:szCs w:val="20"/>
                <w:color w:val="auto"/>
              </w:rPr>
            </w:pPr>
            <w:r>
              <w:rPr>
                <w:rFonts w:ascii="Arial" w:cs="Arial" w:eastAsia="Arial" w:hAnsi="Arial"/>
                <w:sz w:val="12"/>
                <w:szCs w:val="12"/>
                <w:color w:val="auto"/>
              </w:rPr>
              <w:t>(2,806)</w:t>
            </w:r>
          </w:p>
        </w:tc>
        <w:tc>
          <w:tcPr>
            <w:tcW w:w="1380" w:type="dxa"/>
            <w:vAlign w:val="bottom"/>
            <w:tcBorders>
              <w:bottom w:val="single" w:sz="8" w:color="FDF5E7"/>
            </w:tcBorders>
            <w:shd w:val="clear" w:color="auto" w:fill="FDF5E7"/>
          </w:tcPr>
          <w:p>
            <w:pPr>
              <w:jc w:val="right"/>
              <w:ind w:right="198"/>
              <w:spacing w:after="0"/>
              <w:rPr>
                <w:sz w:val="20"/>
                <w:szCs w:val="20"/>
                <w:color w:val="auto"/>
              </w:rPr>
            </w:pPr>
            <w:r>
              <w:rPr>
                <w:rFonts w:ascii="Arial" w:cs="Arial" w:eastAsia="Arial" w:hAnsi="Arial"/>
                <w:sz w:val="12"/>
                <w:szCs w:val="12"/>
                <w:color w:val="auto"/>
              </w:rPr>
              <w:t>(675)</w:t>
            </w:r>
          </w:p>
        </w:tc>
        <w:tc>
          <w:tcPr>
            <w:tcW w:w="1040" w:type="dxa"/>
            <w:vAlign w:val="bottom"/>
            <w:tcBorders>
              <w:bottom w:val="single" w:sz="8" w:color="FDF5E7"/>
            </w:tcBorders>
            <w:gridSpan w:val="2"/>
            <w:shd w:val="clear" w:color="auto" w:fill="FDF5E7"/>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340" w:type="dxa"/>
            <w:vAlign w:val="bottom"/>
          </w:tcPr>
          <w:p>
            <w:pPr>
              <w:ind w:left="20"/>
              <w:spacing w:after="0"/>
              <w:rPr>
                <w:sz w:val="20"/>
                <w:szCs w:val="20"/>
                <w:color w:val="auto"/>
              </w:rPr>
            </w:pPr>
            <w:r>
              <w:rPr>
                <w:rFonts w:ascii="Arial" w:cs="Arial" w:eastAsia="Arial" w:hAnsi="Arial"/>
                <w:sz w:val="12"/>
                <w:szCs w:val="12"/>
                <w:color w:val="3C3C3B"/>
              </w:rPr>
              <w:t>General and administrative expenses</w:t>
            </w:r>
          </w:p>
        </w:tc>
        <w:tc>
          <w:tcPr>
            <w:tcW w:w="12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(10,564)</w:t>
            </w:r>
          </w:p>
        </w:tc>
        <w:tc>
          <w:tcPr>
            <w:tcW w:w="1380" w:type="dxa"/>
            <w:vAlign w:val="bottom"/>
          </w:tcPr>
          <w:p>
            <w:pPr>
              <w:jc w:val="right"/>
              <w:ind w:right="178"/>
              <w:spacing w:after="0"/>
              <w:rPr>
                <w:sz w:val="20"/>
                <w:szCs w:val="20"/>
                <w:color w:val="auto"/>
              </w:rPr>
            </w:pPr>
            <w:r>
              <w:rPr>
                <w:rFonts w:ascii="Arial" w:cs="Arial" w:eastAsia="Arial" w:hAnsi="Arial"/>
                <w:sz w:val="12"/>
                <w:szCs w:val="12"/>
                <w:color w:val="auto"/>
              </w:rPr>
              <w:t>(152)</w:t>
            </w:r>
          </w:p>
        </w:tc>
        <w:tc>
          <w:tcPr>
            <w:tcW w:w="1280" w:type="dxa"/>
            <w:vAlign w:val="bottom"/>
          </w:tcPr>
          <w:p>
            <w:pPr>
              <w:jc w:val="right"/>
              <w:ind w:right="158"/>
              <w:spacing w:after="0"/>
              <w:rPr>
                <w:sz w:val="20"/>
                <w:szCs w:val="20"/>
                <w:color w:val="auto"/>
              </w:rPr>
            </w:pPr>
            <w:r>
              <w:rPr>
                <w:rFonts w:ascii="Arial" w:cs="Arial" w:eastAsia="Arial" w:hAnsi="Arial"/>
                <w:sz w:val="12"/>
                <w:szCs w:val="12"/>
                <w:color w:val="auto"/>
              </w:rPr>
              <w:t>(69)</w:t>
            </w:r>
          </w:p>
        </w:tc>
        <w:tc>
          <w:tcPr>
            <w:tcW w:w="1320" w:type="dxa"/>
            <w:vAlign w:val="bottom"/>
          </w:tcPr>
          <w:p>
            <w:pPr>
              <w:jc w:val="right"/>
              <w:ind w:right="398"/>
              <w:spacing w:after="0"/>
              <w:rPr>
                <w:sz w:val="20"/>
                <w:szCs w:val="20"/>
                <w:color w:val="auto"/>
              </w:rPr>
            </w:pPr>
            <w:r>
              <w:rPr>
                <w:rFonts w:ascii="Arial" w:cs="Arial" w:eastAsia="Arial" w:hAnsi="Arial"/>
                <w:sz w:val="12"/>
                <w:szCs w:val="12"/>
                <w:color w:val="auto"/>
              </w:rPr>
              <w:t>(4,380)</w:t>
            </w:r>
          </w:p>
        </w:tc>
        <w:tc>
          <w:tcPr>
            <w:tcW w:w="1180" w:type="dxa"/>
            <w:vAlign w:val="bottom"/>
          </w:tcPr>
          <w:p>
            <w:pPr>
              <w:jc w:val="right"/>
              <w:ind w:right="198"/>
              <w:spacing w:after="0"/>
              <w:rPr>
                <w:sz w:val="20"/>
                <w:szCs w:val="20"/>
                <w:color w:val="auto"/>
              </w:rPr>
            </w:pPr>
            <w:r>
              <w:rPr>
                <w:rFonts w:ascii="Arial" w:cs="Arial" w:eastAsia="Arial" w:hAnsi="Arial"/>
                <w:sz w:val="12"/>
                <w:szCs w:val="12"/>
                <w:color w:val="auto"/>
              </w:rPr>
              <w:t>(5,778)</w:t>
            </w:r>
          </w:p>
        </w:tc>
        <w:tc>
          <w:tcPr>
            <w:tcW w:w="1380" w:type="dxa"/>
            <w:vAlign w:val="bottom"/>
          </w:tcPr>
          <w:p>
            <w:pPr>
              <w:jc w:val="right"/>
              <w:ind w:right="198"/>
              <w:spacing w:after="0"/>
              <w:rPr>
                <w:sz w:val="20"/>
                <w:szCs w:val="20"/>
                <w:color w:val="auto"/>
              </w:rPr>
            </w:pPr>
            <w:r>
              <w:rPr>
                <w:rFonts w:ascii="Arial" w:cs="Arial" w:eastAsia="Arial" w:hAnsi="Arial"/>
                <w:sz w:val="12"/>
                <w:szCs w:val="12"/>
                <w:color w:val="auto"/>
              </w:rPr>
              <w:t>(185)</w:t>
            </w: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
        </w:trPr>
        <w:tc>
          <w:tcPr>
            <w:tcW w:w="2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34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Marketing and market access expenses</w:t>
            </w:r>
          </w:p>
        </w:tc>
        <w:tc>
          <w:tcPr>
            <w:tcW w:w="1260" w:type="dxa"/>
            <w:vAlign w:val="bottom"/>
            <w:tcBorders>
              <w:bottom w:val="single" w:sz="8" w:color="FDF5E7"/>
              <w:right w:val="single" w:sz="8" w:color="auto"/>
            </w:tcBorders>
            <w:gridSpan w:val="2"/>
            <w:shd w:val="clear" w:color="auto" w:fill="FDF5E7"/>
          </w:tcPr>
          <w:p>
            <w:pPr>
              <w:jc w:val="right"/>
              <w:ind w:right="140"/>
              <w:spacing w:after="0"/>
              <w:rPr>
                <w:sz w:val="20"/>
                <w:szCs w:val="20"/>
                <w:color w:val="auto"/>
              </w:rPr>
            </w:pPr>
            <w:r>
              <w:rPr>
                <w:rFonts w:ascii="Arial" w:cs="Arial" w:eastAsia="Arial" w:hAnsi="Arial"/>
                <w:sz w:val="12"/>
                <w:szCs w:val="12"/>
                <w:color w:val="auto"/>
              </w:rPr>
              <w:t>(390)</w:t>
            </w:r>
          </w:p>
        </w:tc>
        <w:tc>
          <w:tcPr>
            <w:tcW w:w="1380" w:type="dxa"/>
            <w:vAlign w:val="bottom"/>
            <w:tcBorders>
              <w:bottom w:val="single" w:sz="8" w:color="FDF5E7"/>
            </w:tcBorders>
            <w:shd w:val="clear" w:color="auto" w:fill="FDF5E7"/>
          </w:tcPr>
          <w:p>
            <w:pPr>
              <w:jc w:val="right"/>
              <w:ind w:right="178"/>
              <w:spacing w:after="0"/>
              <w:rPr>
                <w:sz w:val="20"/>
                <w:szCs w:val="20"/>
                <w:color w:val="auto"/>
              </w:rPr>
            </w:pPr>
            <w:r>
              <w:rPr>
                <w:rFonts w:ascii="Arial" w:cs="Arial" w:eastAsia="Arial" w:hAnsi="Arial"/>
                <w:sz w:val="12"/>
                <w:szCs w:val="12"/>
                <w:color w:val="auto"/>
              </w:rPr>
              <w:t>(2)</w:t>
            </w:r>
          </w:p>
        </w:tc>
        <w:tc>
          <w:tcPr>
            <w:tcW w:w="1280" w:type="dxa"/>
            <w:vAlign w:val="bottom"/>
            <w:tcBorders>
              <w:bottom w:val="single" w:sz="8" w:color="FDF5E7"/>
            </w:tcBorders>
            <w:shd w:val="clear" w:color="auto" w:fill="FDF5E7"/>
          </w:tcPr>
          <w:p>
            <w:pPr>
              <w:jc w:val="right"/>
              <w:ind w:right="178"/>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FDF5E7"/>
            </w:tcBorders>
            <w:shd w:val="clear" w:color="auto" w:fill="FDF5E7"/>
          </w:tcPr>
          <w:p>
            <w:pPr>
              <w:jc w:val="right"/>
              <w:ind w:right="398"/>
              <w:spacing w:after="0"/>
              <w:rPr>
                <w:sz w:val="20"/>
                <w:szCs w:val="20"/>
                <w:color w:val="auto"/>
              </w:rPr>
            </w:pPr>
            <w:r>
              <w:rPr>
                <w:rFonts w:ascii="Arial" w:cs="Arial" w:eastAsia="Arial" w:hAnsi="Arial"/>
                <w:sz w:val="12"/>
                <w:szCs w:val="12"/>
                <w:color w:val="auto"/>
              </w:rPr>
              <w:t>(295)</w:t>
            </w:r>
          </w:p>
        </w:tc>
        <w:tc>
          <w:tcPr>
            <w:tcW w:w="1180" w:type="dxa"/>
            <w:vAlign w:val="bottom"/>
            <w:tcBorders>
              <w:bottom w:val="single" w:sz="8" w:color="FDF5E7"/>
            </w:tcBorders>
            <w:shd w:val="clear" w:color="auto" w:fill="FDF5E7"/>
          </w:tcPr>
          <w:p>
            <w:pPr>
              <w:jc w:val="right"/>
              <w:ind w:right="198"/>
              <w:spacing w:after="0"/>
              <w:rPr>
                <w:sz w:val="20"/>
                <w:szCs w:val="20"/>
                <w:color w:val="auto"/>
              </w:rPr>
            </w:pPr>
            <w:r>
              <w:rPr>
                <w:rFonts w:ascii="Arial" w:cs="Arial" w:eastAsia="Arial" w:hAnsi="Arial"/>
                <w:sz w:val="12"/>
                <w:szCs w:val="12"/>
                <w:color w:val="auto"/>
              </w:rPr>
              <w:t>(89)</w:t>
            </w:r>
          </w:p>
        </w:tc>
        <w:tc>
          <w:tcPr>
            <w:tcW w:w="1380" w:type="dxa"/>
            <w:vAlign w:val="bottom"/>
            <w:tcBorders>
              <w:bottom w:val="single" w:sz="8" w:color="FDF5E7"/>
            </w:tcBorders>
            <w:shd w:val="clear" w:color="auto" w:fill="FDF5E7"/>
          </w:tcPr>
          <w:p>
            <w:pPr>
              <w:jc w:val="right"/>
              <w:ind w:right="198"/>
              <w:spacing w:after="0"/>
              <w:rPr>
                <w:sz w:val="20"/>
                <w:szCs w:val="20"/>
                <w:color w:val="auto"/>
              </w:rPr>
            </w:pPr>
            <w:r>
              <w:rPr>
                <w:rFonts w:ascii="Arial" w:cs="Arial" w:eastAsia="Arial" w:hAnsi="Arial"/>
                <w:sz w:val="12"/>
                <w:szCs w:val="12"/>
                <w:color w:val="auto"/>
              </w:rPr>
              <w:t>(3)</w:t>
            </w:r>
          </w:p>
        </w:tc>
        <w:tc>
          <w:tcPr>
            <w:tcW w:w="1040" w:type="dxa"/>
            <w:vAlign w:val="bottom"/>
            <w:tcBorders>
              <w:bottom w:val="single" w:sz="8" w:color="FDF5E7"/>
            </w:tcBorders>
            <w:gridSpan w:val="2"/>
            <w:shd w:val="clear" w:color="auto" w:fill="FDF5E7"/>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340" w:type="dxa"/>
            <w:vAlign w:val="bottom"/>
          </w:tcPr>
          <w:p>
            <w:pPr>
              <w:ind w:left="20"/>
              <w:spacing w:after="0"/>
              <w:rPr>
                <w:sz w:val="20"/>
                <w:szCs w:val="20"/>
                <w:color w:val="auto"/>
              </w:rPr>
            </w:pPr>
            <w:r>
              <w:rPr>
                <w:rFonts w:ascii="Arial" w:cs="Arial" w:eastAsia="Arial" w:hAnsi="Arial"/>
                <w:sz w:val="12"/>
                <w:szCs w:val="12"/>
                <w:color w:val="3C3C3B"/>
              </w:rPr>
              <w:t>Other operating income (expenses)</w:t>
            </w:r>
          </w:p>
        </w:tc>
        <w:tc>
          <w:tcPr>
            <w:tcW w:w="12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(39)</w:t>
            </w:r>
          </w:p>
        </w:tc>
        <w:tc>
          <w:tcPr>
            <w:tcW w:w="138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438"/>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198"/>
              <w:spacing w:after="0"/>
              <w:rPr>
                <w:sz w:val="20"/>
                <w:szCs w:val="20"/>
                <w:color w:val="auto"/>
              </w:rPr>
            </w:pPr>
            <w:r>
              <w:rPr>
                <w:rFonts w:ascii="Arial" w:cs="Arial" w:eastAsia="Arial" w:hAnsi="Arial"/>
                <w:sz w:val="12"/>
                <w:szCs w:val="12"/>
                <w:color w:val="auto"/>
              </w:rPr>
              <w:t>(102)</w:t>
            </w:r>
          </w:p>
        </w:tc>
        <w:tc>
          <w:tcPr>
            <w:tcW w:w="1380" w:type="dxa"/>
            <w:vAlign w:val="bottom"/>
          </w:tcPr>
          <w:p>
            <w:pPr>
              <w:jc w:val="right"/>
              <w:ind w:right="238"/>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26"/>
        </w:trPr>
        <w:tc>
          <w:tcPr>
            <w:tcW w:w="2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340" w:type="dxa"/>
            <w:vAlign w:val="bottom"/>
          </w:tcPr>
          <w:p>
            <w:pPr>
              <w:ind w:left="20"/>
              <w:spacing w:after="0"/>
              <w:rPr>
                <w:sz w:val="20"/>
                <w:szCs w:val="20"/>
                <w:color w:val="auto"/>
              </w:rPr>
            </w:pPr>
            <w:r>
              <w:rPr>
                <w:rFonts w:ascii="Arial" w:cs="Arial" w:eastAsia="Arial" w:hAnsi="Arial"/>
                <w:sz w:val="12"/>
                <w:szCs w:val="12"/>
                <w:b w:val="1"/>
                <w:bCs w:val="1"/>
                <w:color w:val="E99D25"/>
              </w:rPr>
              <w:t>TOTAL</w:t>
            </w:r>
          </w:p>
        </w:tc>
        <w:tc>
          <w:tcPr>
            <w:tcW w:w="12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b w:val="1"/>
                <w:bCs w:val="1"/>
                <w:color w:val="E99D25"/>
              </w:rPr>
              <w:t>(29,977)</w:t>
            </w:r>
          </w:p>
        </w:tc>
        <w:tc>
          <w:tcPr>
            <w:tcW w:w="1380" w:type="dxa"/>
            <w:vAlign w:val="bottom"/>
          </w:tcPr>
          <w:p>
            <w:pPr>
              <w:jc w:val="right"/>
              <w:ind w:right="178"/>
              <w:spacing w:after="0"/>
              <w:rPr>
                <w:sz w:val="20"/>
                <w:szCs w:val="20"/>
                <w:color w:val="auto"/>
              </w:rPr>
            </w:pPr>
            <w:r>
              <w:rPr>
                <w:rFonts w:ascii="Arial" w:cs="Arial" w:eastAsia="Arial" w:hAnsi="Arial"/>
                <w:sz w:val="12"/>
                <w:szCs w:val="12"/>
                <w:b w:val="1"/>
                <w:bCs w:val="1"/>
                <w:color w:val="E99D25"/>
              </w:rPr>
              <w:t>(1,210)</w:t>
            </w:r>
          </w:p>
        </w:tc>
        <w:tc>
          <w:tcPr>
            <w:tcW w:w="1280" w:type="dxa"/>
            <w:vAlign w:val="bottom"/>
          </w:tcPr>
          <w:p>
            <w:pPr>
              <w:jc w:val="right"/>
              <w:ind w:right="158"/>
              <w:spacing w:after="0"/>
              <w:rPr>
                <w:sz w:val="20"/>
                <w:szCs w:val="20"/>
                <w:color w:val="auto"/>
              </w:rPr>
            </w:pPr>
            <w:r>
              <w:rPr>
                <w:rFonts w:ascii="Arial" w:cs="Arial" w:eastAsia="Arial" w:hAnsi="Arial"/>
                <w:sz w:val="12"/>
                <w:szCs w:val="12"/>
                <w:b w:val="1"/>
                <w:bCs w:val="1"/>
                <w:color w:val="E99D25"/>
              </w:rPr>
              <w:t>(7,907)</w:t>
            </w:r>
          </w:p>
        </w:tc>
        <w:tc>
          <w:tcPr>
            <w:tcW w:w="1320" w:type="dxa"/>
            <w:vAlign w:val="bottom"/>
          </w:tcPr>
          <w:p>
            <w:pPr>
              <w:jc w:val="right"/>
              <w:ind w:right="398"/>
              <w:spacing w:after="0"/>
              <w:rPr>
                <w:sz w:val="20"/>
                <w:szCs w:val="20"/>
                <w:color w:val="auto"/>
              </w:rPr>
            </w:pPr>
            <w:r>
              <w:rPr>
                <w:rFonts w:ascii="Arial" w:cs="Arial" w:eastAsia="Arial" w:hAnsi="Arial"/>
                <w:sz w:val="12"/>
                <w:szCs w:val="12"/>
                <w:b w:val="1"/>
                <w:bCs w:val="1"/>
                <w:color w:val="E99D25"/>
              </w:rPr>
              <w:t>(11,284)</w:t>
            </w:r>
          </w:p>
        </w:tc>
        <w:tc>
          <w:tcPr>
            <w:tcW w:w="1180" w:type="dxa"/>
            <w:vAlign w:val="bottom"/>
          </w:tcPr>
          <w:p>
            <w:pPr>
              <w:jc w:val="right"/>
              <w:ind w:right="198"/>
              <w:spacing w:after="0"/>
              <w:rPr>
                <w:sz w:val="20"/>
                <w:szCs w:val="20"/>
                <w:color w:val="auto"/>
              </w:rPr>
            </w:pPr>
            <w:r>
              <w:rPr>
                <w:rFonts w:ascii="Arial" w:cs="Arial" w:eastAsia="Arial" w:hAnsi="Arial"/>
                <w:sz w:val="12"/>
                <w:szCs w:val="12"/>
                <w:b w:val="1"/>
                <w:bCs w:val="1"/>
                <w:color w:val="E99D25"/>
              </w:rPr>
              <w:t>(8,774)</w:t>
            </w:r>
          </w:p>
        </w:tc>
        <w:tc>
          <w:tcPr>
            <w:tcW w:w="1380" w:type="dxa"/>
            <w:vAlign w:val="bottom"/>
          </w:tcPr>
          <w:p>
            <w:pPr>
              <w:jc w:val="right"/>
              <w:ind w:right="198"/>
              <w:spacing w:after="0"/>
              <w:rPr>
                <w:sz w:val="20"/>
                <w:szCs w:val="20"/>
                <w:color w:val="auto"/>
              </w:rPr>
            </w:pPr>
            <w:r>
              <w:rPr>
                <w:rFonts w:ascii="Arial" w:cs="Arial" w:eastAsia="Arial" w:hAnsi="Arial"/>
                <w:sz w:val="12"/>
                <w:szCs w:val="12"/>
                <w:b w:val="1"/>
                <w:bCs w:val="1"/>
                <w:color w:val="E99D25"/>
              </w:rPr>
              <w:t>(863)</w:t>
            </w:r>
          </w:p>
        </w:tc>
        <w:tc>
          <w:tcPr>
            <w:tcW w:w="10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E99D25"/>
              </w:rPr>
              <w:t>62</w:t>
            </w:r>
          </w:p>
        </w:tc>
        <w:tc>
          <w:tcPr>
            <w:tcW w:w="0" w:type="dxa"/>
            <w:vAlign w:val="bottom"/>
          </w:tcPr>
          <w:p>
            <w:pPr>
              <w:spacing w:after="0"/>
              <w:rPr>
                <w:sz w:val="1"/>
                <w:szCs w:val="1"/>
                <w:color w:val="auto"/>
              </w:rPr>
            </w:pP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2340" w:type="dxa"/>
            <w:vAlign w:val="bottom"/>
          </w:tcPr>
          <w:p>
            <w:pPr>
              <w:ind w:left="20"/>
              <w:spacing w:after="0"/>
              <w:rPr>
                <w:sz w:val="20"/>
                <w:szCs w:val="20"/>
                <w:color w:val="auto"/>
              </w:rPr>
            </w:pPr>
            <w:r>
              <w:rPr>
                <w:rFonts w:ascii="Arial" w:cs="Arial" w:eastAsia="Arial" w:hAnsi="Arial"/>
                <w:sz w:val="12"/>
                <w:szCs w:val="12"/>
                <w:b w:val="1"/>
                <w:bCs w:val="1"/>
                <w:color w:val="3C3C3B"/>
              </w:rPr>
              <w:t>Operating expenses and other</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340" w:type="dxa"/>
            <w:vAlign w:val="bottom"/>
          </w:tcPr>
          <w:p>
            <w:pPr>
              <w:ind w:left="20"/>
              <w:spacing w:after="0"/>
              <w:rPr>
                <w:sz w:val="20"/>
                <w:szCs w:val="20"/>
                <w:color w:val="auto"/>
              </w:rPr>
            </w:pPr>
            <w:r>
              <w:rPr>
                <w:rFonts w:ascii="Arial" w:cs="Arial" w:eastAsia="Arial" w:hAnsi="Arial"/>
                <w:sz w:val="12"/>
                <w:szCs w:val="12"/>
                <w:b w:val="1"/>
                <w:bCs w:val="1"/>
                <w:color w:val="3C3C3B"/>
              </w:rPr>
              <w:t>operating income (expenses)</w:t>
            </w:r>
          </w:p>
        </w:tc>
        <w:tc>
          <w:tcPr>
            <w:tcW w:w="12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E99D25"/>
              </w:rPr>
              <w:t>Half-year ended</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3C3C3B"/>
              </w:rPr>
              <w:t>Of which :</w:t>
            </w: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b w:val="1"/>
                <w:bCs w:val="1"/>
                <w:color w:val="E99D25"/>
              </w:rPr>
              <w:t>2025/06/30</w:t>
            </w: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23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ind w:right="218"/>
              <w:spacing w:after="0"/>
              <w:rPr>
                <w:sz w:val="20"/>
                <w:szCs w:val="20"/>
                <w:color w:val="auto"/>
              </w:rPr>
            </w:pPr>
            <w:r>
              <w:rPr>
                <w:rFonts w:ascii="Arial" w:cs="Arial" w:eastAsia="Arial" w:hAnsi="Arial"/>
                <w:sz w:val="12"/>
                <w:szCs w:val="12"/>
                <w:b w:val="1"/>
                <w:bCs w:val="1"/>
                <w:color w:val="3C3C3B"/>
              </w:rPr>
              <w:t>Raw</w:t>
            </w:r>
          </w:p>
        </w:tc>
        <w:tc>
          <w:tcPr>
            <w:tcW w:w="1280" w:type="dxa"/>
            <w:vAlign w:val="bottom"/>
          </w:tcPr>
          <w:p>
            <w:pPr>
              <w:jc w:val="right"/>
              <w:ind w:right="198"/>
              <w:spacing w:after="0"/>
              <w:rPr>
                <w:sz w:val="20"/>
                <w:szCs w:val="20"/>
                <w:color w:val="auto"/>
              </w:rPr>
            </w:pPr>
            <w:r>
              <w:rPr>
                <w:rFonts w:ascii="Arial" w:cs="Arial" w:eastAsia="Arial" w:hAnsi="Arial"/>
                <w:sz w:val="12"/>
                <w:szCs w:val="12"/>
                <w:b w:val="1"/>
                <w:bCs w:val="1"/>
                <w:color w:val="3C3C3B"/>
              </w:rPr>
              <w:t>Contracted</w:t>
            </w:r>
          </w:p>
        </w:tc>
        <w:tc>
          <w:tcPr>
            <w:tcW w:w="1320" w:type="dxa"/>
            <w:vAlign w:val="bottom"/>
          </w:tcPr>
          <w:p>
            <w:pPr>
              <w:jc w:val="right"/>
              <w:ind w:right="458"/>
              <w:spacing w:after="0"/>
              <w:rPr>
                <w:sz w:val="20"/>
                <w:szCs w:val="20"/>
                <w:color w:val="auto"/>
              </w:rPr>
            </w:pPr>
            <w:r>
              <w:rPr>
                <w:rFonts w:ascii="Arial" w:cs="Arial" w:eastAsia="Arial" w:hAnsi="Arial"/>
                <w:sz w:val="12"/>
                <w:szCs w:val="12"/>
                <w:b w:val="1"/>
                <w:bCs w:val="1"/>
                <w:color w:val="3C3C3B"/>
              </w:rPr>
              <w:t>Employee</w:t>
            </w:r>
          </w:p>
        </w:tc>
        <w:tc>
          <w:tcPr>
            <w:tcW w:w="1180" w:type="dxa"/>
            <w:vAlign w:val="bottom"/>
          </w:tcPr>
          <w:p>
            <w:pPr>
              <w:jc w:val="right"/>
              <w:ind w:right="278"/>
              <w:spacing w:after="0"/>
              <w:rPr>
                <w:sz w:val="20"/>
                <w:szCs w:val="20"/>
                <w:color w:val="auto"/>
              </w:rPr>
            </w:pPr>
            <w:r>
              <w:rPr>
                <w:rFonts w:ascii="Arial" w:cs="Arial" w:eastAsia="Arial" w:hAnsi="Arial"/>
                <w:sz w:val="12"/>
                <w:szCs w:val="12"/>
                <w:b w:val="1"/>
                <w:bCs w:val="1"/>
                <w:color w:val="3C3C3B"/>
              </w:rPr>
              <w:t>Other</w:t>
            </w:r>
          </w:p>
        </w:tc>
        <w:tc>
          <w:tcPr>
            <w:tcW w:w="1380" w:type="dxa"/>
            <w:vAlign w:val="bottom"/>
          </w:tcPr>
          <w:p>
            <w:pPr>
              <w:jc w:val="right"/>
              <w:ind w:right="298"/>
              <w:spacing w:after="0"/>
              <w:rPr>
                <w:sz w:val="20"/>
                <w:szCs w:val="20"/>
                <w:color w:val="auto"/>
              </w:rPr>
            </w:pPr>
            <w:r>
              <w:rPr>
                <w:rFonts w:ascii="Arial" w:cs="Arial" w:eastAsia="Arial" w:hAnsi="Arial"/>
                <w:sz w:val="12"/>
                <w:szCs w:val="12"/>
                <w:b w:val="1"/>
                <w:bCs w:val="1"/>
                <w:color w:val="3C3C3B"/>
              </w:rPr>
              <w:t>Depreciation,</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C3C3B"/>
              </w:rPr>
              <w:t>Gain /</w:t>
            </w:r>
          </w:p>
        </w:tc>
        <w:tc>
          <w:tcPr>
            <w:tcW w:w="0" w:type="dxa"/>
            <w:vAlign w:val="bottom"/>
          </w:tcPr>
          <w:p>
            <w:pPr>
              <w:spacing w:after="0"/>
              <w:rPr>
                <w:sz w:val="1"/>
                <w:szCs w:val="1"/>
                <w:color w:val="auto"/>
              </w:rPr>
            </w:pPr>
          </w:p>
        </w:tc>
      </w:tr>
      <w:tr>
        <w:trPr>
          <w:trHeight w:val="199"/>
        </w:trPr>
        <w:tc>
          <w:tcPr>
            <w:tcW w:w="2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218"/>
              <w:spacing w:after="0"/>
              <w:rPr>
                <w:sz w:val="20"/>
                <w:szCs w:val="20"/>
                <w:color w:val="auto"/>
              </w:rPr>
            </w:pPr>
            <w:r>
              <w:rPr>
                <w:rFonts w:ascii="Arial" w:cs="Arial" w:eastAsia="Arial" w:hAnsi="Arial"/>
                <w:sz w:val="12"/>
                <w:szCs w:val="12"/>
                <w:b w:val="1"/>
                <w:bCs w:val="1"/>
                <w:color w:val="3C3C3B"/>
              </w:rPr>
              <w:t>materials</w:t>
            </w:r>
          </w:p>
        </w:tc>
        <w:tc>
          <w:tcPr>
            <w:tcW w:w="1280" w:type="dxa"/>
            <w:vAlign w:val="bottom"/>
          </w:tcPr>
          <w:p>
            <w:pPr>
              <w:jc w:val="right"/>
              <w:ind w:right="198"/>
              <w:spacing w:after="0"/>
              <w:rPr>
                <w:sz w:val="20"/>
                <w:szCs w:val="20"/>
                <w:color w:val="auto"/>
              </w:rPr>
            </w:pPr>
            <w:r>
              <w:rPr>
                <w:rFonts w:ascii="Arial" w:cs="Arial" w:eastAsia="Arial" w:hAnsi="Arial"/>
                <w:sz w:val="12"/>
                <w:szCs w:val="12"/>
                <w:b w:val="1"/>
                <w:bCs w:val="1"/>
                <w:color w:val="3C3C3B"/>
              </w:rPr>
              <w:t>research and</w:t>
            </w:r>
          </w:p>
        </w:tc>
        <w:tc>
          <w:tcPr>
            <w:tcW w:w="1320" w:type="dxa"/>
            <w:vAlign w:val="bottom"/>
          </w:tcPr>
          <w:p>
            <w:pPr>
              <w:jc w:val="right"/>
              <w:ind w:right="458"/>
              <w:spacing w:after="0"/>
              <w:rPr>
                <w:sz w:val="20"/>
                <w:szCs w:val="20"/>
                <w:color w:val="auto"/>
              </w:rPr>
            </w:pPr>
            <w:r>
              <w:rPr>
                <w:rFonts w:ascii="Arial" w:cs="Arial" w:eastAsia="Arial" w:hAnsi="Arial"/>
                <w:sz w:val="12"/>
                <w:szCs w:val="12"/>
                <w:b w:val="1"/>
                <w:bCs w:val="1"/>
                <w:color w:val="3C3C3B"/>
              </w:rPr>
              <w:t>expenses</w:t>
            </w:r>
          </w:p>
        </w:tc>
        <w:tc>
          <w:tcPr>
            <w:tcW w:w="1180" w:type="dxa"/>
            <w:vAlign w:val="bottom"/>
          </w:tcPr>
          <w:p>
            <w:pPr>
              <w:jc w:val="right"/>
              <w:ind w:right="278"/>
              <w:spacing w:after="0"/>
              <w:rPr>
                <w:sz w:val="20"/>
                <w:szCs w:val="20"/>
                <w:color w:val="auto"/>
              </w:rPr>
            </w:pPr>
            <w:r>
              <w:rPr>
                <w:rFonts w:ascii="Arial" w:cs="Arial" w:eastAsia="Arial" w:hAnsi="Arial"/>
                <w:sz w:val="12"/>
                <w:szCs w:val="12"/>
                <w:b w:val="1"/>
                <w:bCs w:val="1"/>
                <w:color w:val="3C3C3B"/>
              </w:rPr>
              <w:t>expenses</w:t>
            </w:r>
          </w:p>
        </w:tc>
        <w:tc>
          <w:tcPr>
            <w:tcW w:w="1380" w:type="dxa"/>
            <w:vAlign w:val="bottom"/>
          </w:tcPr>
          <w:p>
            <w:pPr>
              <w:jc w:val="right"/>
              <w:ind w:right="298"/>
              <w:spacing w:after="0"/>
              <w:rPr>
                <w:sz w:val="20"/>
                <w:szCs w:val="20"/>
                <w:color w:val="auto"/>
              </w:rPr>
            </w:pPr>
            <w:r>
              <w:rPr>
                <w:rFonts w:ascii="Arial" w:cs="Arial" w:eastAsia="Arial" w:hAnsi="Arial"/>
                <w:sz w:val="12"/>
                <w:szCs w:val="12"/>
                <w:b w:val="1"/>
                <w:bCs w:val="1"/>
                <w:color w:val="3C3C3B"/>
              </w:rPr>
              <w:t>amortization</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C3C3B"/>
              </w:rPr>
              <w:t>(loss) on</w:t>
            </w:r>
          </w:p>
        </w:tc>
        <w:tc>
          <w:tcPr>
            <w:tcW w:w="0" w:type="dxa"/>
            <w:vAlign w:val="bottom"/>
          </w:tcPr>
          <w:p>
            <w:pPr>
              <w:spacing w:after="0"/>
              <w:rPr>
                <w:sz w:val="1"/>
                <w:szCs w:val="1"/>
                <w:color w:val="auto"/>
              </w:rPr>
            </w:pPr>
          </w:p>
        </w:tc>
      </w:tr>
      <w:tr>
        <w:trPr>
          <w:trHeight w:val="199"/>
        </w:trPr>
        <w:tc>
          <w:tcPr>
            <w:tcW w:w="2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218"/>
              <w:spacing w:after="0"/>
              <w:rPr>
                <w:sz w:val="20"/>
                <w:szCs w:val="20"/>
                <w:color w:val="auto"/>
              </w:rPr>
            </w:pPr>
            <w:r>
              <w:rPr>
                <w:rFonts w:ascii="Arial" w:cs="Arial" w:eastAsia="Arial" w:hAnsi="Arial"/>
                <w:sz w:val="12"/>
                <w:szCs w:val="12"/>
                <w:b w:val="1"/>
                <w:bCs w:val="1"/>
                <w:color w:val="3C3C3B"/>
              </w:rPr>
              <w:t>and</w:t>
            </w:r>
          </w:p>
        </w:tc>
        <w:tc>
          <w:tcPr>
            <w:tcW w:w="1280" w:type="dxa"/>
            <w:vAlign w:val="bottom"/>
          </w:tcPr>
          <w:p>
            <w:pPr>
              <w:jc w:val="right"/>
              <w:ind w:right="198"/>
              <w:spacing w:after="0"/>
              <w:rPr>
                <w:sz w:val="20"/>
                <w:szCs w:val="20"/>
                <w:color w:val="auto"/>
              </w:rPr>
            </w:pPr>
            <w:r>
              <w:rPr>
                <w:rFonts w:ascii="Arial" w:cs="Arial" w:eastAsia="Arial" w:hAnsi="Arial"/>
                <w:sz w:val="12"/>
                <w:szCs w:val="12"/>
                <w:b w:val="1"/>
                <w:bCs w:val="1"/>
                <w:color w:val="3C3C3B"/>
              </w:rPr>
              <w:t>development</w:t>
            </w:r>
          </w:p>
        </w:tc>
        <w:tc>
          <w:tcPr>
            <w:tcW w:w="1320" w:type="dxa"/>
            <w:vAlign w:val="bottom"/>
          </w:tcPr>
          <w:p>
            <w:pPr>
              <w:spacing w:after="0"/>
              <w:rPr>
                <w:sz w:val="17"/>
                <w:szCs w:val="17"/>
                <w:color w:val="auto"/>
              </w:rPr>
            </w:pPr>
          </w:p>
        </w:tc>
        <w:tc>
          <w:tcPr>
            <w:tcW w:w="1180" w:type="dxa"/>
            <w:vAlign w:val="bottom"/>
          </w:tcPr>
          <w:p>
            <w:pPr>
              <w:jc w:val="right"/>
              <w:ind w:right="278"/>
              <w:spacing w:after="0"/>
              <w:rPr>
                <w:sz w:val="20"/>
                <w:szCs w:val="20"/>
                <w:color w:val="auto"/>
              </w:rPr>
            </w:pPr>
            <w:r>
              <w:rPr>
                <w:rFonts w:ascii="Arial" w:cs="Arial" w:eastAsia="Arial" w:hAnsi="Arial"/>
                <w:sz w:val="12"/>
                <w:szCs w:val="12"/>
                <w:b w:val="1"/>
                <w:bCs w:val="1"/>
                <w:color w:val="3C3C3B"/>
              </w:rPr>
              <w:t>(maintenance,</w:t>
            </w:r>
          </w:p>
        </w:tc>
        <w:tc>
          <w:tcPr>
            <w:tcW w:w="1380" w:type="dxa"/>
            <w:vAlign w:val="bottom"/>
          </w:tcPr>
          <w:p>
            <w:pPr>
              <w:jc w:val="right"/>
              <w:ind w:right="298"/>
              <w:spacing w:after="0"/>
              <w:rPr>
                <w:sz w:val="20"/>
                <w:szCs w:val="20"/>
                <w:color w:val="auto"/>
              </w:rPr>
            </w:pPr>
            <w:r>
              <w:rPr>
                <w:rFonts w:ascii="Arial" w:cs="Arial" w:eastAsia="Arial" w:hAnsi="Arial"/>
                <w:sz w:val="12"/>
                <w:szCs w:val="12"/>
                <w:b w:val="1"/>
                <w:bCs w:val="1"/>
                <w:color w:val="3C3C3B"/>
              </w:rPr>
              <w:t>and</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C3C3B"/>
              </w:rPr>
              <w:t>disposal of</w:t>
            </w:r>
          </w:p>
        </w:tc>
        <w:tc>
          <w:tcPr>
            <w:tcW w:w="0" w:type="dxa"/>
            <w:vAlign w:val="bottom"/>
          </w:tcPr>
          <w:p>
            <w:pPr>
              <w:spacing w:after="0"/>
              <w:rPr>
                <w:sz w:val="1"/>
                <w:szCs w:val="1"/>
                <w:color w:val="auto"/>
              </w:rPr>
            </w:pPr>
          </w:p>
        </w:tc>
      </w:tr>
      <w:tr>
        <w:trPr>
          <w:trHeight w:val="199"/>
        </w:trPr>
        <w:tc>
          <w:tcPr>
            <w:tcW w:w="2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218"/>
              <w:spacing w:after="0"/>
              <w:rPr>
                <w:sz w:val="20"/>
                <w:szCs w:val="20"/>
                <w:color w:val="auto"/>
              </w:rPr>
            </w:pPr>
            <w:r>
              <w:rPr>
                <w:rFonts w:ascii="Arial" w:cs="Arial" w:eastAsia="Arial" w:hAnsi="Arial"/>
                <w:sz w:val="12"/>
                <w:szCs w:val="12"/>
                <w:b w:val="1"/>
                <w:bCs w:val="1"/>
                <w:color w:val="3C3C3B"/>
              </w:rPr>
              <w:t>consumables</w:t>
            </w:r>
          </w:p>
        </w:tc>
        <w:tc>
          <w:tcPr>
            <w:tcW w:w="1280" w:type="dxa"/>
            <w:vAlign w:val="bottom"/>
          </w:tcPr>
          <w:p>
            <w:pPr>
              <w:jc w:val="right"/>
              <w:ind w:right="198"/>
              <w:spacing w:after="0"/>
              <w:rPr>
                <w:sz w:val="20"/>
                <w:szCs w:val="20"/>
                <w:color w:val="auto"/>
              </w:rPr>
            </w:pPr>
            <w:r>
              <w:rPr>
                <w:rFonts w:ascii="Arial" w:cs="Arial" w:eastAsia="Arial" w:hAnsi="Arial"/>
                <w:sz w:val="12"/>
                <w:szCs w:val="12"/>
                <w:b w:val="1"/>
                <w:bCs w:val="1"/>
                <w:color w:val="3C3C3B"/>
              </w:rPr>
              <w:t>activities</w:t>
            </w:r>
          </w:p>
        </w:tc>
        <w:tc>
          <w:tcPr>
            <w:tcW w:w="1320" w:type="dxa"/>
            <w:vAlign w:val="bottom"/>
          </w:tcPr>
          <w:p>
            <w:pPr>
              <w:spacing w:after="0"/>
              <w:rPr>
                <w:sz w:val="17"/>
                <w:szCs w:val="17"/>
                <w:color w:val="auto"/>
              </w:rPr>
            </w:pPr>
          </w:p>
        </w:tc>
        <w:tc>
          <w:tcPr>
            <w:tcW w:w="1180" w:type="dxa"/>
            <w:vAlign w:val="bottom"/>
          </w:tcPr>
          <w:p>
            <w:pPr>
              <w:jc w:val="right"/>
              <w:ind w:right="278"/>
              <w:spacing w:after="0"/>
              <w:rPr>
                <w:sz w:val="20"/>
                <w:szCs w:val="20"/>
                <w:color w:val="auto"/>
              </w:rPr>
            </w:pPr>
            <w:r>
              <w:rPr>
                <w:rFonts w:ascii="Arial" w:cs="Arial" w:eastAsia="Arial" w:hAnsi="Arial"/>
                <w:sz w:val="12"/>
                <w:szCs w:val="12"/>
                <w:b w:val="1"/>
                <w:bCs w:val="1"/>
                <w:color w:val="3C3C3B"/>
              </w:rPr>
              <w:t>fees, travel,</w:t>
            </w:r>
          </w:p>
        </w:tc>
        <w:tc>
          <w:tcPr>
            <w:tcW w:w="1380" w:type="dxa"/>
            <w:vAlign w:val="bottom"/>
          </w:tcPr>
          <w:p>
            <w:pPr>
              <w:jc w:val="right"/>
              <w:ind w:right="298"/>
              <w:spacing w:after="0"/>
              <w:rPr>
                <w:sz w:val="20"/>
                <w:szCs w:val="20"/>
                <w:color w:val="auto"/>
              </w:rPr>
            </w:pPr>
            <w:r>
              <w:rPr>
                <w:rFonts w:ascii="Arial" w:cs="Arial" w:eastAsia="Arial" w:hAnsi="Arial"/>
                <w:sz w:val="12"/>
                <w:szCs w:val="12"/>
                <w:b w:val="1"/>
                <w:bCs w:val="1"/>
                <w:color w:val="3C3C3B"/>
              </w:rPr>
              <w:t>impairment</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C3C3B"/>
              </w:rPr>
              <w:t>property,</w:t>
            </w:r>
          </w:p>
        </w:tc>
        <w:tc>
          <w:tcPr>
            <w:tcW w:w="0" w:type="dxa"/>
            <w:vAlign w:val="bottom"/>
          </w:tcPr>
          <w:p>
            <w:pPr>
              <w:spacing w:after="0"/>
              <w:rPr>
                <w:sz w:val="1"/>
                <w:szCs w:val="1"/>
                <w:color w:val="auto"/>
              </w:rPr>
            </w:pPr>
          </w:p>
        </w:tc>
      </w:tr>
      <w:tr>
        <w:trPr>
          <w:trHeight w:val="199"/>
        </w:trPr>
        <w:tc>
          <w:tcPr>
            <w:tcW w:w="2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218"/>
              <w:spacing w:after="0"/>
              <w:rPr>
                <w:sz w:val="20"/>
                <w:szCs w:val="20"/>
                <w:color w:val="auto"/>
              </w:rPr>
            </w:pPr>
            <w:r>
              <w:rPr>
                <w:rFonts w:ascii="Arial" w:cs="Arial" w:eastAsia="Arial" w:hAnsi="Arial"/>
                <w:sz w:val="12"/>
                <w:szCs w:val="12"/>
                <w:b w:val="1"/>
                <w:bCs w:val="1"/>
                <w:color w:val="3C3C3B"/>
              </w:rPr>
              <w:t>used</w:t>
            </w:r>
          </w:p>
        </w:tc>
        <w:tc>
          <w:tcPr>
            <w:tcW w:w="1280" w:type="dxa"/>
            <w:vAlign w:val="bottom"/>
          </w:tcPr>
          <w:p>
            <w:pPr>
              <w:jc w:val="right"/>
              <w:ind w:right="198"/>
              <w:spacing w:after="0"/>
              <w:rPr>
                <w:sz w:val="20"/>
                <w:szCs w:val="20"/>
                <w:color w:val="auto"/>
              </w:rPr>
            </w:pPr>
            <w:r>
              <w:rPr>
                <w:rFonts w:ascii="Arial" w:cs="Arial" w:eastAsia="Arial" w:hAnsi="Arial"/>
                <w:sz w:val="12"/>
                <w:szCs w:val="12"/>
                <w:b w:val="1"/>
                <w:bCs w:val="1"/>
                <w:color w:val="3C3C3B"/>
              </w:rPr>
              <w:t>conducted by</w:t>
            </w:r>
          </w:p>
        </w:tc>
        <w:tc>
          <w:tcPr>
            <w:tcW w:w="1320" w:type="dxa"/>
            <w:vAlign w:val="bottom"/>
          </w:tcPr>
          <w:p>
            <w:pPr>
              <w:spacing w:after="0"/>
              <w:rPr>
                <w:sz w:val="17"/>
                <w:szCs w:val="17"/>
                <w:color w:val="auto"/>
              </w:rPr>
            </w:pPr>
          </w:p>
        </w:tc>
        <w:tc>
          <w:tcPr>
            <w:tcW w:w="1180" w:type="dxa"/>
            <w:vAlign w:val="bottom"/>
          </w:tcPr>
          <w:p>
            <w:pPr>
              <w:jc w:val="right"/>
              <w:ind w:right="278"/>
              <w:spacing w:after="0"/>
              <w:rPr>
                <w:sz w:val="20"/>
                <w:szCs w:val="20"/>
                <w:color w:val="auto"/>
              </w:rPr>
            </w:pPr>
            <w:r>
              <w:rPr>
                <w:rFonts w:ascii="Arial" w:cs="Arial" w:eastAsia="Arial" w:hAnsi="Arial"/>
                <w:sz w:val="12"/>
                <w:szCs w:val="12"/>
                <w:b w:val="1"/>
                <w:bCs w:val="1"/>
                <w:color w:val="3C3C3B"/>
              </w:rPr>
              <w:t>taxes…)</w:t>
            </w:r>
          </w:p>
        </w:tc>
        <w:tc>
          <w:tcPr>
            <w:tcW w:w="1380" w:type="dxa"/>
            <w:vAlign w:val="bottom"/>
          </w:tcPr>
          <w:p>
            <w:pPr>
              <w:jc w:val="right"/>
              <w:ind w:right="298"/>
              <w:spacing w:after="0"/>
              <w:rPr>
                <w:sz w:val="20"/>
                <w:szCs w:val="20"/>
                <w:color w:val="auto"/>
              </w:rPr>
            </w:pPr>
            <w:r>
              <w:rPr>
                <w:rFonts w:ascii="Arial" w:cs="Arial" w:eastAsia="Arial" w:hAnsi="Arial"/>
                <w:sz w:val="12"/>
                <w:szCs w:val="12"/>
                <w:b w:val="1"/>
                <w:bCs w:val="1"/>
                <w:color w:val="3C3C3B"/>
              </w:rPr>
              <w:t>charges</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C3C3B"/>
              </w:rPr>
              <w:t>plant and</w:t>
            </w:r>
          </w:p>
        </w:tc>
        <w:tc>
          <w:tcPr>
            <w:tcW w:w="0" w:type="dxa"/>
            <w:vAlign w:val="bottom"/>
          </w:tcPr>
          <w:p>
            <w:pPr>
              <w:spacing w:after="0"/>
              <w:rPr>
                <w:sz w:val="1"/>
                <w:szCs w:val="1"/>
                <w:color w:val="auto"/>
              </w:rPr>
            </w:pPr>
          </w:p>
        </w:tc>
      </w:tr>
      <w:tr>
        <w:trPr>
          <w:trHeight w:val="199"/>
        </w:trPr>
        <w:tc>
          <w:tcPr>
            <w:tcW w:w="234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80" w:type="dxa"/>
            <w:vAlign w:val="bottom"/>
          </w:tcPr>
          <w:p>
            <w:pPr>
              <w:jc w:val="right"/>
              <w:ind w:right="198"/>
              <w:spacing w:after="0"/>
              <w:rPr>
                <w:sz w:val="20"/>
                <w:szCs w:val="20"/>
                <w:color w:val="auto"/>
              </w:rPr>
            </w:pPr>
            <w:r>
              <w:rPr>
                <w:rFonts w:ascii="Arial" w:cs="Arial" w:eastAsia="Arial" w:hAnsi="Arial"/>
                <w:sz w:val="12"/>
                <w:szCs w:val="12"/>
                <w:b w:val="1"/>
                <w:bCs w:val="1"/>
                <w:color w:val="3C3C3B"/>
              </w:rPr>
              <w:t>third parties</w:t>
            </w: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C3C3B"/>
              </w:rPr>
              <w:t>equipment</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2340" w:type="dxa"/>
            <w:vAlign w:val="bottom"/>
            <w:tcBorders>
              <w:top w:val="single" w:sz="8" w:color="auto"/>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Research and development expenses</w:t>
            </w:r>
          </w:p>
        </w:tc>
        <w:tc>
          <w:tcPr>
            <w:tcW w:w="1080" w:type="dxa"/>
            <w:vAlign w:val="bottom"/>
            <w:tcBorders>
              <w:top w:val="single" w:sz="8" w:color="auto"/>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(25,117)</w:t>
            </w:r>
          </w:p>
        </w:tc>
        <w:tc>
          <w:tcPr>
            <w:tcW w:w="180" w:type="dxa"/>
            <w:vAlign w:val="bottom"/>
            <w:tcBorders>
              <w:top w:val="single" w:sz="8" w:color="auto"/>
              <w:bottom w:val="single" w:sz="8" w:color="FDF5E7"/>
              <w:right w:val="single" w:sz="8" w:color="FDF5E7"/>
            </w:tcBorders>
            <w:shd w:val="clear" w:color="auto" w:fill="FDF5E7"/>
          </w:tcPr>
          <w:p>
            <w:pPr>
              <w:spacing w:after="0"/>
              <w:rPr>
                <w:sz w:val="14"/>
                <w:szCs w:val="14"/>
                <w:color w:val="auto"/>
              </w:rPr>
            </w:pPr>
          </w:p>
        </w:tc>
        <w:tc>
          <w:tcPr>
            <w:tcW w:w="1380" w:type="dxa"/>
            <w:vAlign w:val="bottom"/>
            <w:tcBorders>
              <w:top w:val="single" w:sz="8" w:color="auto"/>
              <w:bottom w:val="single" w:sz="8" w:color="FDF5E7"/>
            </w:tcBorders>
            <w:shd w:val="clear" w:color="auto" w:fill="FDF5E7"/>
          </w:tcPr>
          <w:p>
            <w:pPr>
              <w:jc w:val="right"/>
              <w:ind w:right="218"/>
              <w:spacing w:after="0"/>
              <w:rPr>
                <w:sz w:val="20"/>
                <w:szCs w:val="20"/>
                <w:color w:val="auto"/>
              </w:rPr>
            </w:pPr>
            <w:r>
              <w:rPr>
                <w:rFonts w:ascii="Arial" w:cs="Arial" w:eastAsia="Arial" w:hAnsi="Arial"/>
                <w:sz w:val="12"/>
                <w:szCs w:val="12"/>
                <w:color w:val="auto"/>
              </w:rPr>
              <w:t>(1,083)</w:t>
            </w:r>
          </w:p>
        </w:tc>
        <w:tc>
          <w:tcPr>
            <w:tcW w:w="1280" w:type="dxa"/>
            <w:vAlign w:val="bottom"/>
            <w:tcBorders>
              <w:top w:val="single" w:sz="8" w:color="auto"/>
              <w:bottom w:val="single" w:sz="8" w:color="FDF5E7"/>
            </w:tcBorders>
            <w:shd w:val="clear" w:color="auto" w:fill="FDF5E7"/>
          </w:tcPr>
          <w:p>
            <w:pPr>
              <w:jc w:val="right"/>
              <w:ind w:right="198"/>
              <w:spacing w:after="0"/>
              <w:rPr>
                <w:sz w:val="20"/>
                <w:szCs w:val="20"/>
                <w:color w:val="auto"/>
              </w:rPr>
            </w:pPr>
            <w:r>
              <w:rPr>
                <w:rFonts w:ascii="Arial" w:cs="Arial" w:eastAsia="Arial" w:hAnsi="Arial"/>
                <w:sz w:val="12"/>
                <w:szCs w:val="12"/>
                <w:color w:val="auto"/>
              </w:rPr>
              <w:t>(13,377)</w:t>
            </w:r>
          </w:p>
        </w:tc>
        <w:tc>
          <w:tcPr>
            <w:tcW w:w="1320" w:type="dxa"/>
            <w:vAlign w:val="bottom"/>
            <w:tcBorders>
              <w:top w:val="single" w:sz="8" w:color="auto"/>
              <w:bottom w:val="single" w:sz="8" w:color="FDF5E7"/>
            </w:tcBorders>
            <w:shd w:val="clear" w:color="auto" w:fill="FDF5E7"/>
          </w:tcPr>
          <w:p>
            <w:pPr>
              <w:jc w:val="right"/>
              <w:ind w:right="478"/>
              <w:spacing w:after="0"/>
              <w:rPr>
                <w:sz w:val="20"/>
                <w:szCs w:val="20"/>
                <w:color w:val="auto"/>
              </w:rPr>
            </w:pPr>
            <w:r>
              <w:rPr>
                <w:rFonts w:ascii="Arial" w:cs="Arial" w:eastAsia="Arial" w:hAnsi="Arial"/>
                <w:sz w:val="12"/>
                <w:szCs w:val="12"/>
                <w:color w:val="auto"/>
              </w:rPr>
              <w:t>(7,339)</w:t>
            </w:r>
          </w:p>
        </w:tc>
        <w:tc>
          <w:tcPr>
            <w:tcW w:w="1180" w:type="dxa"/>
            <w:vAlign w:val="bottom"/>
            <w:tcBorders>
              <w:top w:val="single" w:sz="8" w:color="auto"/>
              <w:bottom w:val="single" w:sz="8" w:color="FDF5E7"/>
            </w:tcBorders>
            <w:shd w:val="clear" w:color="auto" w:fill="FDF5E7"/>
          </w:tcPr>
          <w:p>
            <w:pPr>
              <w:jc w:val="right"/>
              <w:ind w:right="298"/>
              <w:spacing w:after="0"/>
              <w:rPr>
                <w:sz w:val="20"/>
                <w:szCs w:val="20"/>
                <w:color w:val="auto"/>
              </w:rPr>
            </w:pPr>
            <w:r>
              <w:rPr>
                <w:rFonts w:ascii="Arial" w:cs="Arial" w:eastAsia="Arial" w:hAnsi="Arial"/>
                <w:sz w:val="12"/>
                <w:szCs w:val="12"/>
                <w:color w:val="auto"/>
              </w:rPr>
              <w:t>(2,592)</w:t>
            </w:r>
          </w:p>
        </w:tc>
        <w:tc>
          <w:tcPr>
            <w:tcW w:w="1380" w:type="dxa"/>
            <w:vAlign w:val="bottom"/>
            <w:tcBorders>
              <w:top w:val="single" w:sz="8" w:color="auto"/>
              <w:bottom w:val="single" w:sz="8" w:color="FDF5E7"/>
            </w:tcBorders>
            <w:shd w:val="clear" w:color="auto" w:fill="FDF5E7"/>
          </w:tcPr>
          <w:p>
            <w:pPr>
              <w:jc w:val="right"/>
              <w:ind w:right="298"/>
              <w:spacing w:after="0"/>
              <w:rPr>
                <w:sz w:val="20"/>
                <w:szCs w:val="20"/>
                <w:color w:val="auto"/>
              </w:rPr>
            </w:pPr>
            <w:r>
              <w:rPr>
                <w:rFonts w:ascii="Arial" w:cs="Arial" w:eastAsia="Arial" w:hAnsi="Arial"/>
                <w:sz w:val="12"/>
                <w:szCs w:val="12"/>
                <w:color w:val="auto"/>
              </w:rPr>
              <w:t>(726)</w:t>
            </w:r>
          </w:p>
        </w:tc>
        <w:tc>
          <w:tcPr>
            <w:tcW w:w="920" w:type="dxa"/>
            <w:vAlign w:val="bottom"/>
            <w:tcBorders>
              <w:top w:val="single" w:sz="8" w:color="auto"/>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340" w:type="dxa"/>
            <w:vAlign w:val="bottom"/>
          </w:tcPr>
          <w:p>
            <w:pPr>
              <w:ind w:left="20"/>
              <w:spacing w:after="0"/>
              <w:rPr>
                <w:sz w:val="20"/>
                <w:szCs w:val="20"/>
                <w:color w:val="auto"/>
              </w:rPr>
            </w:pPr>
            <w:r>
              <w:rPr>
                <w:rFonts w:ascii="Arial" w:cs="Arial" w:eastAsia="Arial" w:hAnsi="Arial"/>
                <w:sz w:val="12"/>
                <w:szCs w:val="12"/>
                <w:color w:val="3C3C3B"/>
              </w:rPr>
              <w:t>General and administrative expenses</w:t>
            </w:r>
          </w:p>
        </w:tc>
        <w:tc>
          <w:tcPr>
            <w:tcW w:w="1080" w:type="dxa"/>
            <w:vAlign w:val="bottom"/>
          </w:tcPr>
          <w:p>
            <w:pPr>
              <w:jc w:val="right"/>
              <w:spacing w:after="0"/>
              <w:rPr>
                <w:sz w:val="20"/>
                <w:szCs w:val="20"/>
                <w:color w:val="auto"/>
              </w:rPr>
            </w:pPr>
            <w:r>
              <w:rPr>
                <w:rFonts w:ascii="Arial" w:cs="Arial" w:eastAsia="Arial" w:hAnsi="Arial"/>
                <w:sz w:val="12"/>
                <w:szCs w:val="12"/>
                <w:color w:val="auto"/>
              </w:rPr>
              <w:t>(9,971)</w:t>
            </w:r>
          </w:p>
        </w:tc>
        <w:tc>
          <w:tcPr>
            <w:tcW w:w="180" w:type="dxa"/>
            <w:vAlign w:val="bottom"/>
          </w:tcPr>
          <w:p>
            <w:pPr>
              <w:spacing w:after="0"/>
              <w:rPr>
                <w:sz w:val="15"/>
                <w:szCs w:val="15"/>
                <w:color w:val="auto"/>
              </w:rPr>
            </w:pPr>
          </w:p>
        </w:tc>
        <w:tc>
          <w:tcPr>
            <w:tcW w:w="1380" w:type="dxa"/>
            <w:vAlign w:val="bottom"/>
          </w:tcPr>
          <w:p>
            <w:pPr>
              <w:jc w:val="right"/>
              <w:ind w:right="218"/>
              <w:spacing w:after="0"/>
              <w:rPr>
                <w:sz w:val="20"/>
                <w:szCs w:val="20"/>
                <w:color w:val="auto"/>
              </w:rPr>
            </w:pPr>
            <w:r>
              <w:rPr>
                <w:rFonts w:ascii="Arial" w:cs="Arial" w:eastAsia="Arial" w:hAnsi="Arial"/>
                <w:sz w:val="12"/>
                <w:szCs w:val="12"/>
                <w:color w:val="auto"/>
              </w:rPr>
              <w:t>(155)</w:t>
            </w:r>
          </w:p>
        </w:tc>
        <w:tc>
          <w:tcPr>
            <w:tcW w:w="1280" w:type="dxa"/>
            <w:vAlign w:val="bottom"/>
          </w:tcPr>
          <w:p>
            <w:pPr>
              <w:jc w:val="right"/>
              <w:ind w:right="198"/>
              <w:spacing w:after="0"/>
              <w:rPr>
                <w:sz w:val="20"/>
                <w:szCs w:val="20"/>
                <w:color w:val="auto"/>
              </w:rPr>
            </w:pPr>
            <w:r>
              <w:rPr>
                <w:rFonts w:ascii="Arial" w:cs="Arial" w:eastAsia="Arial" w:hAnsi="Arial"/>
                <w:sz w:val="12"/>
                <w:szCs w:val="12"/>
                <w:color w:val="auto"/>
              </w:rPr>
              <w:t>(61)</w:t>
            </w:r>
          </w:p>
        </w:tc>
        <w:tc>
          <w:tcPr>
            <w:tcW w:w="1320" w:type="dxa"/>
            <w:vAlign w:val="bottom"/>
          </w:tcPr>
          <w:p>
            <w:pPr>
              <w:jc w:val="right"/>
              <w:ind w:right="478"/>
              <w:spacing w:after="0"/>
              <w:rPr>
                <w:sz w:val="20"/>
                <w:szCs w:val="20"/>
                <w:color w:val="auto"/>
              </w:rPr>
            </w:pPr>
            <w:r>
              <w:rPr>
                <w:rFonts w:ascii="Arial" w:cs="Arial" w:eastAsia="Arial" w:hAnsi="Arial"/>
                <w:sz w:val="12"/>
                <w:szCs w:val="12"/>
                <w:color w:val="auto"/>
              </w:rPr>
              <w:t>(4,410)</w:t>
            </w:r>
          </w:p>
        </w:tc>
        <w:tc>
          <w:tcPr>
            <w:tcW w:w="1180" w:type="dxa"/>
            <w:vAlign w:val="bottom"/>
          </w:tcPr>
          <w:p>
            <w:pPr>
              <w:jc w:val="right"/>
              <w:ind w:right="298"/>
              <w:spacing w:after="0"/>
              <w:rPr>
                <w:sz w:val="20"/>
                <w:szCs w:val="20"/>
                <w:color w:val="auto"/>
              </w:rPr>
            </w:pPr>
            <w:r>
              <w:rPr>
                <w:rFonts w:ascii="Arial" w:cs="Arial" w:eastAsia="Arial" w:hAnsi="Arial"/>
                <w:sz w:val="12"/>
                <w:szCs w:val="12"/>
                <w:color w:val="auto"/>
              </w:rPr>
              <w:t>(5,112)</w:t>
            </w:r>
          </w:p>
        </w:tc>
        <w:tc>
          <w:tcPr>
            <w:tcW w:w="1380" w:type="dxa"/>
            <w:vAlign w:val="bottom"/>
          </w:tcPr>
          <w:p>
            <w:pPr>
              <w:jc w:val="right"/>
              <w:ind w:right="298"/>
              <w:spacing w:after="0"/>
              <w:rPr>
                <w:sz w:val="20"/>
                <w:szCs w:val="20"/>
                <w:color w:val="auto"/>
              </w:rPr>
            </w:pPr>
            <w:r>
              <w:rPr>
                <w:rFonts w:ascii="Arial" w:cs="Arial" w:eastAsia="Arial" w:hAnsi="Arial"/>
                <w:sz w:val="12"/>
                <w:szCs w:val="12"/>
                <w:color w:val="auto"/>
              </w:rPr>
              <w:t>(233)</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
        </w:trPr>
        <w:tc>
          <w:tcPr>
            <w:tcW w:w="2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34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Marketing and market access expenses</w:t>
            </w:r>
          </w:p>
        </w:tc>
        <w:tc>
          <w:tcPr>
            <w:tcW w:w="108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(392)</w:t>
            </w:r>
          </w:p>
        </w:tc>
        <w:tc>
          <w:tcPr>
            <w:tcW w:w="180" w:type="dxa"/>
            <w:vAlign w:val="bottom"/>
            <w:tcBorders>
              <w:bottom w:val="single" w:sz="8" w:color="FDF5E7"/>
              <w:right w:val="single" w:sz="8" w:color="FDF5E7"/>
            </w:tcBorders>
            <w:shd w:val="clear" w:color="auto" w:fill="FDF5E7"/>
          </w:tcPr>
          <w:p>
            <w:pPr>
              <w:spacing w:after="0"/>
              <w:rPr>
                <w:sz w:val="15"/>
                <w:szCs w:val="15"/>
                <w:color w:val="auto"/>
              </w:rPr>
            </w:pPr>
          </w:p>
        </w:tc>
        <w:tc>
          <w:tcPr>
            <w:tcW w:w="1380" w:type="dxa"/>
            <w:vAlign w:val="bottom"/>
            <w:tcBorders>
              <w:bottom w:val="single" w:sz="8" w:color="FDF5E7"/>
            </w:tcBorders>
            <w:shd w:val="clear" w:color="auto" w:fill="FDF5E7"/>
          </w:tcPr>
          <w:p>
            <w:pPr>
              <w:jc w:val="right"/>
              <w:ind w:right="218"/>
              <w:spacing w:after="0"/>
              <w:rPr>
                <w:sz w:val="20"/>
                <w:szCs w:val="20"/>
                <w:color w:val="auto"/>
              </w:rPr>
            </w:pPr>
            <w:r>
              <w:rPr>
                <w:rFonts w:ascii="Arial" w:cs="Arial" w:eastAsia="Arial" w:hAnsi="Arial"/>
                <w:sz w:val="12"/>
                <w:szCs w:val="12"/>
                <w:color w:val="auto"/>
              </w:rPr>
              <w:t>(4)</w:t>
            </w:r>
          </w:p>
        </w:tc>
        <w:tc>
          <w:tcPr>
            <w:tcW w:w="1280" w:type="dxa"/>
            <w:vAlign w:val="bottom"/>
            <w:tcBorders>
              <w:bottom w:val="single" w:sz="8" w:color="FDF5E7"/>
            </w:tcBorders>
            <w:shd w:val="clear" w:color="auto" w:fill="FDF5E7"/>
          </w:tcPr>
          <w:p>
            <w:pPr>
              <w:jc w:val="right"/>
              <w:ind w:right="238"/>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FDF5E7"/>
            </w:tcBorders>
            <w:shd w:val="clear" w:color="auto" w:fill="FDF5E7"/>
          </w:tcPr>
          <w:p>
            <w:pPr>
              <w:jc w:val="right"/>
              <w:ind w:right="478"/>
              <w:spacing w:after="0"/>
              <w:rPr>
                <w:sz w:val="20"/>
                <w:szCs w:val="20"/>
                <w:color w:val="auto"/>
              </w:rPr>
            </w:pPr>
            <w:r>
              <w:rPr>
                <w:rFonts w:ascii="Arial" w:cs="Arial" w:eastAsia="Arial" w:hAnsi="Arial"/>
                <w:sz w:val="12"/>
                <w:szCs w:val="12"/>
                <w:color w:val="auto"/>
              </w:rPr>
              <w:t>(362)</w:t>
            </w:r>
          </w:p>
        </w:tc>
        <w:tc>
          <w:tcPr>
            <w:tcW w:w="1180" w:type="dxa"/>
            <w:vAlign w:val="bottom"/>
            <w:tcBorders>
              <w:bottom w:val="single" w:sz="8" w:color="FDF5E7"/>
            </w:tcBorders>
            <w:shd w:val="clear" w:color="auto" w:fill="FDF5E7"/>
          </w:tcPr>
          <w:p>
            <w:pPr>
              <w:jc w:val="right"/>
              <w:ind w:right="298"/>
              <w:spacing w:after="0"/>
              <w:rPr>
                <w:sz w:val="20"/>
                <w:szCs w:val="20"/>
                <w:color w:val="auto"/>
              </w:rPr>
            </w:pPr>
            <w:r>
              <w:rPr>
                <w:rFonts w:ascii="Arial" w:cs="Arial" w:eastAsia="Arial" w:hAnsi="Arial"/>
                <w:sz w:val="12"/>
                <w:szCs w:val="12"/>
                <w:color w:val="auto"/>
              </w:rPr>
              <w:t>(23)</w:t>
            </w:r>
          </w:p>
        </w:tc>
        <w:tc>
          <w:tcPr>
            <w:tcW w:w="1380" w:type="dxa"/>
            <w:vAlign w:val="bottom"/>
            <w:tcBorders>
              <w:bottom w:val="single" w:sz="8" w:color="FDF5E7"/>
            </w:tcBorders>
            <w:shd w:val="clear" w:color="auto" w:fill="FDF5E7"/>
          </w:tcPr>
          <w:p>
            <w:pPr>
              <w:jc w:val="right"/>
              <w:ind w:right="298"/>
              <w:spacing w:after="0"/>
              <w:rPr>
                <w:sz w:val="20"/>
                <w:szCs w:val="20"/>
                <w:color w:val="auto"/>
              </w:rPr>
            </w:pPr>
            <w:r>
              <w:rPr>
                <w:rFonts w:ascii="Arial" w:cs="Arial" w:eastAsia="Arial" w:hAnsi="Arial"/>
                <w:sz w:val="12"/>
                <w:szCs w:val="12"/>
                <w:color w:val="auto"/>
              </w:rPr>
              <w:t>(3)</w:t>
            </w:r>
          </w:p>
        </w:tc>
        <w:tc>
          <w:tcPr>
            <w:tcW w:w="9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40" w:type="dxa"/>
            <w:vAlign w:val="bottom"/>
          </w:tcPr>
          <w:p>
            <w:pPr>
              <w:ind w:left="20"/>
              <w:spacing w:after="0"/>
              <w:rPr>
                <w:sz w:val="20"/>
                <w:szCs w:val="20"/>
                <w:color w:val="auto"/>
              </w:rPr>
            </w:pPr>
            <w:r>
              <w:rPr>
                <w:rFonts w:ascii="Arial" w:cs="Arial" w:eastAsia="Arial" w:hAnsi="Arial"/>
                <w:sz w:val="12"/>
                <w:szCs w:val="12"/>
                <w:color w:val="3C3C3B"/>
              </w:rPr>
              <w:t>Other operating income (expenses)</w:t>
            </w:r>
          </w:p>
        </w:tc>
        <w:tc>
          <w:tcPr>
            <w:tcW w:w="1080" w:type="dxa"/>
            <w:vAlign w:val="bottom"/>
          </w:tcPr>
          <w:p>
            <w:pPr>
              <w:jc w:val="right"/>
              <w:spacing w:after="0"/>
              <w:rPr>
                <w:sz w:val="20"/>
                <w:szCs w:val="20"/>
                <w:color w:val="auto"/>
              </w:rPr>
            </w:pPr>
            <w:r>
              <w:rPr>
                <w:rFonts w:ascii="Arial" w:cs="Arial" w:eastAsia="Arial" w:hAnsi="Arial"/>
                <w:sz w:val="12"/>
                <w:szCs w:val="12"/>
                <w:color w:val="auto"/>
              </w:rPr>
              <w:t>(115)</w:t>
            </w:r>
          </w:p>
        </w:tc>
        <w:tc>
          <w:tcPr>
            <w:tcW w:w="180" w:type="dxa"/>
            <w:vAlign w:val="bottom"/>
          </w:tcPr>
          <w:p>
            <w:pPr>
              <w:spacing w:after="0"/>
              <w:rPr>
                <w:sz w:val="15"/>
                <w:szCs w:val="15"/>
                <w:color w:val="auto"/>
              </w:rPr>
            </w:pPr>
          </w:p>
        </w:tc>
        <w:tc>
          <w:tcPr>
            <w:tcW w:w="138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238"/>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518"/>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298"/>
              <w:spacing w:after="0"/>
              <w:rPr>
                <w:sz w:val="20"/>
                <w:szCs w:val="20"/>
                <w:color w:val="auto"/>
              </w:rPr>
            </w:pPr>
            <w:r>
              <w:rPr>
                <w:rFonts w:ascii="Arial" w:cs="Arial" w:eastAsia="Arial" w:hAnsi="Arial"/>
                <w:sz w:val="12"/>
                <w:szCs w:val="12"/>
                <w:color w:val="auto"/>
              </w:rPr>
              <w:t>(127)</w:t>
            </w:r>
          </w:p>
        </w:tc>
        <w:tc>
          <w:tcPr>
            <w:tcW w:w="138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340" w:type="dxa"/>
            <w:vAlign w:val="bottom"/>
          </w:tcPr>
          <w:p>
            <w:pPr>
              <w:ind w:left="20"/>
              <w:spacing w:after="0"/>
              <w:rPr>
                <w:sz w:val="20"/>
                <w:szCs w:val="20"/>
                <w:color w:val="auto"/>
              </w:rPr>
            </w:pPr>
            <w:r>
              <w:rPr>
                <w:rFonts w:ascii="Arial" w:cs="Arial" w:eastAsia="Arial" w:hAnsi="Arial"/>
                <w:sz w:val="12"/>
                <w:szCs w:val="12"/>
                <w:b w:val="1"/>
                <w:bCs w:val="1"/>
                <w:color w:val="3C3C3B"/>
              </w:rPr>
              <w:t>TOTAL</w:t>
            </w:r>
          </w:p>
        </w:tc>
        <w:tc>
          <w:tcPr>
            <w:tcW w:w="1080" w:type="dxa"/>
            <w:vAlign w:val="bottom"/>
          </w:tcPr>
          <w:p>
            <w:pPr>
              <w:jc w:val="right"/>
              <w:spacing w:after="0"/>
              <w:rPr>
                <w:sz w:val="20"/>
                <w:szCs w:val="20"/>
                <w:color w:val="auto"/>
              </w:rPr>
            </w:pPr>
            <w:r>
              <w:rPr>
                <w:rFonts w:ascii="Arial" w:cs="Arial" w:eastAsia="Arial" w:hAnsi="Arial"/>
                <w:sz w:val="12"/>
                <w:szCs w:val="12"/>
                <w:b w:val="1"/>
                <w:bCs w:val="1"/>
                <w:color w:val="E99D25"/>
              </w:rPr>
              <w:t>(35,594)</w:t>
            </w:r>
          </w:p>
        </w:tc>
        <w:tc>
          <w:tcPr>
            <w:tcW w:w="180" w:type="dxa"/>
            <w:vAlign w:val="bottom"/>
          </w:tcPr>
          <w:p>
            <w:pPr>
              <w:spacing w:after="0"/>
              <w:rPr>
                <w:sz w:val="14"/>
                <w:szCs w:val="14"/>
                <w:color w:val="auto"/>
              </w:rPr>
            </w:pPr>
          </w:p>
        </w:tc>
        <w:tc>
          <w:tcPr>
            <w:tcW w:w="1380" w:type="dxa"/>
            <w:vAlign w:val="bottom"/>
          </w:tcPr>
          <w:p>
            <w:pPr>
              <w:jc w:val="right"/>
              <w:ind w:right="218"/>
              <w:spacing w:after="0"/>
              <w:rPr>
                <w:sz w:val="20"/>
                <w:szCs w:val="20"/>
                <w:color w:val="auto"/>
              </w:rPr>
            </w:pPr>
            <w:r>
              <w:rPr>
                <w:rFonts w:ascii="Arial" w:cs="Arial" w:eastAsia="Arial" w:hAnsi="Arial"/>
                <w:sz w:val="12"/>
                <w:szCs w:val="12"/>
                <w:b w:val="1"/>
                <w:bCs w:val="1"/>
                <w:color w:val="E99D25"/>
              </w:rPr>
              <w:t>(1,241)</w:t>
            </w:r>
          </w:p>
        </w:tc>
        <w:tc>
          <w:tcPr>
            <w:tcW w:w="1280" w:type="dxa"/>
            <w:vAlign w:val="bottom"/>
          </w:tcPr>
          <w:p>
            <w:pPr>
              <w:jc w:val="right"/>
              <w:ind w:right="198"/>
              <w:spacing w:after="0"/>
              <w:rPr>
                <w:sz w:val="20"/>
                <w:szCs w:val="20"/>
                <w:color w:val="auto"/>
              </w:rPr>
            </w:pPr>
            <w:r>
              <w:rPr>
                <w:rFonts w:ascii="Arial" w:cs="Arial" w:eastAsia="Arial" w:hAnsi="Arial"/>
                <w:sz w:val="12"/>
                <w:szCs w:val="12"/>
                <w:b w:val="1"/>
                <w:bCs w:val="1"/>
                <w:color w:val="E99D25"/>
              </w:rPr>
              <w:t>(13,439)</w:t>
            </w:r>
          </w:p>
        </w:tc>
        <w:tc>
          <w:tcPr>
            <w:tcW w:w="1320" w:type="dxa"/>
            <w:vAlign w:val="bottom"/>
          </w:tcPr>
          <w:p>
            <w:pPr>
              <w:jc w:val="right"/>
              <w:ind w:right="478"/>
              <w:spacing w:after="0"/>
              <w:rPr>
                <w:sz w:val="20"/>
                <w:szCs w:val="20"/>
                <w:color w:val="auto"/>
              </w:rPr>
            </w:pPr>
            <w:r>
              <w:rPr>
                <w:rFonts w:ascii="Arial" w:cs="Arial" w:eastAsia="Arial" w:hAnsi="Arial"/>
                <w:sz w:val="12"/>
                <w:szCs w:val="12"/>
                <w:b w:val="1"/>
                <w:bCs w:val="1"/>
                <w:color w:val="E99D25"/>
              </w:rPr>
              <w:t>(12,111)</w:t>
            </w:r>
          </w:p>
        </w:tc>
        <w:tc>
          <w:tcPr>
            <w:tcW w:w="1180" w:type="dxa"/>
            <w:vAlign w:val="bottom"/>
          </w:tcPr>
          <w:p>
            <w:pPr>
              <w:jc w:val="right"/>
              <w:ind w:right="298"/>
              <w:spacing w:after="0"/>
              <w:rPr>
                <w:sz w:val="20"/>
                <w:szCs w:val="20"/>
                <w:color w:val="auto"/>
              </w:rPr>
            </w:pPr>
            <w:r>
              <w:rPr>
                <w:rFonts w:ascii="Arial" w:cs="Arial" w:eastAsia="Arial" w:hAnsi="Arial"/>
                <w:sz w:val="12"/>
                <w:szCs w:val="12"/>
                <w:b w:val="1"/>
                <w:bCs w:val="1"/>
                <w:color w:val="E99D25"/>
              </w:rPr>
              <w:t>(7,854)</w:t>
            </w:r>
          </w:p>
        </w:tc>
        <w:tc>
          <w:tcPr>
            <w:tcW w:w="1380" w:type="dxa"/>
            <w:vAlign w:val="bottom"/>
          </w:tcPr>
          <w:p>
            <w:pPr>
              <w:jc w:val="right"/>
              <w:ind w:right="298"/>
              <w:spacing w:after="0"/>
              <w:rPr>
                <w:sz w:val="20"/>
                <w:szCs w:val="20"/>
                <w:color w:val="auto"/>
              </w:rPr>
            </w:pPr>
            <w:r>
              <w:rPr>
                <w:rFonts w:ascii="Arial" w:cs="Arial" w:eastAsia="Arial" w:hAnsi="Arial"/>
                <w:sz w:val="12"/>
                <w:szCs w:val="12"/>
                <w:b w:val="1"/>
                <w:bCs w:val="1"/>
                <w:color w:val="E99D25"/>
              </w:rPr>
              <w:t>(961)</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E99D25"/>
              </w:rPr>
              <w:t>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3C3C3B"/>
        </w:rPr>
        <w:t>Research and development expenses</w:t>
      </w:r>
    </w:p>
    <w:p>
      <w:pPr>
        <w:spacing w:after="0" w:line="183" w:lineRule="exact"/>
        <w:rPr>
          <w:sz w:val="20"/>
          <w:szCs w:val="20"/>
          <w:color w:val="auto"/>
        </w:rPr>
      </w:pPr>
    </w:p>
    <w:p>
      <w:pPr>
        <w:jc w:val="both"/>
        <w:ind w:right="100" w:firstLine="318"/>
        <w:spacing w:after="0" w:line="266" w:lineRule="auto"/>
        <w:rPr>
          <w:sz w:val="20"/>
          <w:szCs w:val="20"/>
          <w:color w:val="auto"/>
        </w:rPr>
      </w:pPr>
      <w:r>
        <w:rPr>
          <w:rFonts w:ascii="Arial" w:cs="Arial" w:eastAsia="Arial" w:hAnsi="Arial"/>
          <w:sz w:val="15"/>
          <w:szCs w:val="15"/>
          <w:color w:val="3C3C3B"/>
        </w:rPr>
        <w:t>For the first six months of 2024, research and development expenses totaled €19.0 million. These expenses were comprised of €7.8 million in contracted research and development conducted by third parties, €6.6 million in employee expenses, €2.8 million in other expenses, €0.7 million in depreciation, amortization and impairment charges and €1.1 million in raw materials and consumables.</w:t>
      </w:r>
    </w:p>
    <w:p>
      <w:pPr>
        <w:spacing w:after="0" w:line="142" w:lineRule="exact"/>
        <w:rPr>
          <w:sz w:val="20"/>
          <w:szCs w:val="20"/>
          <w:color w:val="auto"/>
        </w:rPr>
      </w:pPr>
    </w:p>
    <w:p>
      <w:pPr>
        <w:jc w:val="both"/>
        <w:ind w:right="100" w:firstLine="318"/>
        <w:spacing w:after="0" w:line="266" w:lineRule="auto"/>
        <w:rPr>
          <w:sz w:val="20"/>
          <w:szCs w:val="20"/>
          <w:color w:val="auto"/>
        </w:rPr>
      </w:pPr>
      <w:r>
        <w:rPr>
          <w:rFonts w:ascii="Arial" w:cs="Arial" w:eastAsia="Arial" w:hAnsi="Arial"/>
          <w:sz w:val="15"/>
          <w:szCs w:val="15"/>
          <w:color w:val="3C3C3B"/>
        </w:rPr>
        <w:t>For the first six months of 2025, research and development expenses totaled €25.1 million. These expenses were comprised of €13.4 million in contracted research and development conducted by third parties, €7.3 million in employee expenses, €2.6 million in other expenses, €0.7 million in depreciation, amortization and impairment charges and €1.1 million in raw materials and consumables.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increase of €5.5 million in contracted research and development conducted by third parties is mainly due to:</w:t>
      </w:r>
    </w:p>
    <w:p>
      <w:pPr>
        <w:spacing w:after="0" w:line="79" w:lineRule="exact"/>
        <w:rPr>
          <w:sz w:val="20"/>
          <w:szCs w:val="20"/>
          <w:color w:val="auto"/>
        </w:rPr>
      </w:pPr>
    </w:p>
    <w:p>
      <w:pPr>
        <w:ind w:left="500" w:hanging="240"/>
        <w:spacing w:after="0"/>
        <w:tabs>
          <w:tab w:leader="none" w:pos="500" w:val="left"/>
        </w:tabs>
        <w:numPr>
          <w:ilvl w:val="0"/>
          <w:numId w:val="27"/>
        </w:numPr>
        <w:rPr>
          <w:rFonts w:ascii="Arial" w:cs="Arial" w:eastAsia="Arial" w:hAnsi="Arial"/>
          <w:sz w:val="15"/>
          <w:szCs w:val="15"/>
          <w:color w:val="3C3C3B"/>
        </w:rPr>
      </w:pPr>
      <w:r>
        <w:rPr>
          <w:rFonts w:ascii="Arial" w:cs="Arial" w:eastAsia="Arial" w:hAnsi="Arial"/>
          <w:sz w:val="15"/>
          <w:szCs w:val="15"/>
          <w:color w:val="3C3C3B"/>
        </w:rPr>
        <w:t>Increasing costs related to the VS-01 product candidate of €5.8 million,</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27"/>
        </w:numPr>
        <w:rPr>
          <w:rFonts w:ascii="Arial" w:cs="Arial" w:eastAsia="Arial" w:hAnsi="Arial"/>
          <w:sz w:val="15"/>
          <w:szCs w:val="15"/>
          <w:color w:val="3C3C3B"/>
        </w:rPr>
      </w:pPr>
      <w:r>
        <w:rPr>
          <w:rFonts w:ascii="Arial" w:cs="Arial" w:eastAsia="Arial" w:hAnsi="Arial"/>
          <w:sz w:val="15"/>
          <w:szCs w:val="15"/>
          <w:color w:val="3C3C3B"/>
        </w:rPr>
        <w:t>Increasing costs related to the G1090N product candidate of €0.7 million,</w:t>
      </w:r>
    </w:p>
    <w:p>
      <w:pPr>
        <w:spacing w:after="0" w:line="92" w:lineRule="exact"/>
        <w:rPr>
          <w:rFonts w:ascii="Arial" w:cs="Arial" w:eastAsia="Arial" w:hAnsi="Arial"/>
          <w:sz w:val="15"/>
          <w:szCs w:val="15"/>
          <w:color w:val="3C3C3B"/>
        </w:rPr>
      </w:pPr>
    </w:p>
    <w:p>
      <w:pPr>
        <w:ind w:left="500" w:hanging="240"/>
        <w:spacing w:after="0"/>
        <w:tabs>
          <w:tab w:leader="none" w:pos="500" w:val="left"/>
        </w:tabs>
        <w:numPr>
          <w:ilvl w:val="0"/>
          <w:numId w:val="27"/>
        </w:numPr>
        <w:rPr>
          <w:rFonts w:ascii="Arial" w:cs="Arial" w:eastAsia="Arial" w:hAnsi="Arial"/>
          <w:sz w:val="15"/>
          <w:szCs w:val="15"/>
          <w:color w:val="3C3C3B"/>
        </w:rPr>
      </w:pPr>
      <w:r>
        <w:rPr>
          <w:rFonts w:ascii="Arial" w:cs="Arial" w:eastAsia="Arial" w:hAnsi="Arial"/>
          <w:sz w:val="15"/>
          <w:szCs w:val="15"/>
          <w:color w:val="3C3C3B"/>
        </w:rPr>
        <w:t>Decreasing costs related to the GNS561 product candidate of €0.2 million, and</w:t>
      </w:r>
    </w:p>
    <w:p>
      <w:pPr>
        <w:spacing w:after="0" w:line="79" w:lineRule="exact"/>
        <w:rPr>
          <w:rFonts w:ascii="Arial" w:cs="Arial" w:eastAsia="Arial" w:hAnsi="Arial"/>
          <w:sz w:val="15"/>
          <w:szCs w:val="15"/>
          <w:color w:val="3C3C3B"/>
        </w:rPr>
      </w:pPr>
    </w:p>
    <w:p>
      <w:pPr>
        <w:ind w:left="520" w:right="100" w:hanging="260"/>
        <w:spacing w:after="0" w:line="274" w:lineRule="auto"/>
        <w:tabs>
          <w:tab w:leader="none" w:pos="504" w:val="left"/>
        </w:tabs>
        <w:numPr>
          <w:ilvl w:val="0"/>
          <w:numId w:val="27"/>
        </w:numPr>
        <w:rPr>
          <w:rFonts w:ascii="Arial" w:cs="Arial" w:eastAsia="Arial" w:hAnsi="Arial"/>
          <w:sz w:val="15"/>
          <w:szCs w:val="15"/>
          <w:color w:val="3C3C3B"/>
        </w:rPr>
      </w:pPr>
      <w:r>
        <w:rPr>
          <w:rFonts w:ascii="Arial" w:cs="Arial" w:eastAsia="Arial" w:hAnsi="Arial"/>
          <w:sz w:val="15"/>
          <w:szCs w:val="15"/>
          <w:color w:val="3C3C3B"/>
        </w:rPr>
        <w:t>No further costs related to the ELATIVE® product candidate (approved by the FDA in the US in June 2024 and marketed under the name Iqirvo® (elafibranor) for a total variance of €0.8 million, inclusive of accrual reversals made in 2025.</w:t>
      </w:r>
    </w:p>
    <w:p>
      <w:pPr>
        <w:spacing w:after="0" w:line="136" w:lineRule="exact"/>
        <w:rPr>
          <w:sz w:val="20"/>
          <w:szCs w:val="20"/>
          <w:color w:val="auto"/>
        </w:rPr>
      </w:pPr>
    </w:p>
    <w:p>
      <w:pPr>
        <w:ind w:right="100" w:firstLine="318"/>
        <w:spacing w:after="0" w:line="293" w:lineRule="auto"/>
        <w:rPr>
          <w:sz w:val="20"/>
          <w:szCs w:val="20"/>
          <w:color w:val="auto"/>
        </w:rPr>
      </w:pPr>
      <w:r>
        <w:rPr>
          <w:rFonts w:ascii="Arial" w:cs="Arial" w:eastAsia="Arial" w:hAnsi="Arial"/>
          <w:sz w:val="15"/>
          <w:szCs w:val="15"/>
          <w:color w:val="3C3C3B"/>
        </w:rPr>
        <w:t>The increase of €0.7 million in employee expenses, consisting of wages, salaries, social security, pension costs and share-based compensation paid to employees in the research and development function, relates primarily to the increase in workforce (from 106 to 122 employees at June 30, 2024 and 2025, respectively).</w:t>
      </w:r>
    </w:p>
    <w:p>
      <w:pPr>
        <w:spacing w:after="0" w:line="259" w:lineRule="exact"/>
        <w:rPr>
          <w:sz w:val="20"/>
          <w:szCs w:val="20"/>
          <w:color w:val="auto"/>
        </w:rPr>
      </w:pPr>
    </w:p>
    <w:tbl>
      <w:tblPr>
        <w:tblLayout w:type="fixed"/>
        <w:tblInd w:w="2830" w:type="dxa"/>
        <w:tblCellMar>
          <w:top w:w="0" w:type="dxa"/>
          <w:left w:w="0" w:type="dxa"/>
          <w:bottom w:w="0" w:type="dxa"/>
          <w:right w:w="0" w:type="dxa"/>
        </w:tblCellMar>
      </w:tblPr>
      <w:tr>
        <w:trPr>
          <w:trHeight w:val="146"/>
        </w:trPr>
        <w:tc>
          <w:tcPr>
            <w:tcW w:w="7880" w:type="dxa"/>
            <w:vAlign w:val="bottom"/>
            <w:tcBorders>
              <w:left w:val="single" w:sz="8" w:color="57879D"/>
            </w:tcBorders>
            <w:vMerge w:val="restart"/>
          </w:tcPr>
          <w:p>
            <w:pPr>
              <w:ind w:left="40"/>
              <w:spacing w:after="0"/>
              <w:rPr>
                <w:sz w:val="20"/>
                <w:szCs w:val="20"/>
                <w:color w:val="auto"/>
              </w:rPr>
            </w:pPr>
            <w:r>
              <w:rPr>
                <w:rFonts w:ascii="Arial" w:cs="Arial" w:eastAsia="Arial" w:hAnsi="Arial"/>
                <w:sz w:val="15"/>
                <w:szCs w:val="15"/>
                <w:color w:val="3C3C3B"/>
              </w:rPr>
              <w:t>Half-Year Business and Financial Report at June 30, 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7880" w:type="dxa"/>
            <w:vAlign w:val="bottom"/>
            <w:tcBorders>
              <w:left w:val="single" w:sz="8" w:color="57879D"/>
            </w:tcBorders>
            <w:vMerge w:val="continue"/>
          </w:tcPr>
          <w:p>
            <w:pPr>
              <w:spacing w:after="0"/>
              <w:rPr>
                <w:sz w:val="22"/>
                <w:szCs w:val="22"/>
                <w:color w:val="auto"/>
              </w:rPr>
            </w:pPr>
          </w:p>
        </w:tc>
        <w:tc>
          <w:tcPr>
            <w:tcW w:w="640" w:type="dxa"/>
            <w:vAlign w:val="bottom"/>
            <w:shd w:val="clear" w:color="auto" w:fill="DBDBDB"/>
          </w:tcPr>
          <w:p>
            <w:pPr>
              <w:jc w:val="right"/>
              <w:ind w:right="385"/>
              <w:spacing w:after="0"/>
              <w:rPr>
                <w:sz w:val="20"/>
                <w:szCs w:val="20"/>
                <w:color w:val="auto"/>
              </w:rPr>
            </w:pPr>
            <w:r>
              <w:rPr>
                <w:rFonts w:ascii="Arial" w:cs="Arial" w:eastAsia="Arial" w:hAnsi="Arial"/>
                <w:sz w:val="15"/>
                <w:szCs w:val="15"/>
                <w:color w:val="3C3C3B"/>
                <w:w w:val="95"/>
              </w:rPr>
              <w:t>11</w:t>
            </w:r>
          </w:p>
        </w:tc>
        <w:tc>
          <w:tcPr>
            <w:tcW w:w="0" w:type="dxa"/>
            <w:vAlign w:val="bottom"/>
          </w:tcPr>
          <w:p>
            <w:pPr>
              <w:spacing w:after="0"/>
              <w:rPr>
                <w:sz w:val="1"/>
                <w:szCs w:val="1"/>
                <w:color w:val="auto"/>
              </w:rPr>
            </w:pPr>
          </w:p>
        </w:tc>
      </w:tr>
      <w:tr>
        <w:trPr>
          <w:trHeight w:val="71"/>
        </w:trPr>
        <w:tc>
          <w:tcPr>
            <w:tcW w:w="7880" w:type="dxa"/>
            <w:vAlign w:val="bottom"/>
            <w:tcBorders>
              <w:left w:val="single" w:sz="8" w:color="57879D"/>
            </w:tcBorders>
          </w:tcPr>
          <w:p>
            <w:pPr>
              <w:spacing w:after="0"/>
              <w:rPr>
                <w:sz w:val="6"/>
                <w:szCs w:val="6"/>
                <w:color w:val="auto"/>
              </w:rPr>
            </w:pPr>
          </w:p>
        </w:tc>
        <w:tc>
          <w:tcPr>
            <w:tcW w:w="6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7880" w:type="dxa"/>
            <w:vAlign w:val="bottom"/>
            <w:tcBorders>
              <w:left w:val="single" w:sz="8" w:color="57879D"/>
            </w:tcBorders>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-369570</wp:posOffset>
            </wp:positionV>
            <wp:extent cx="1094105" cy="277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94105" cy="27749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7" w:name="page18"/>
    <w:bookmarkEnd w:id="17"/>
    <w:p>
      <w:pPr>
        <w:jc w:val="both"/>
        <w:ind w:right="100" w:firstLine="318"/>
        <w:spacing w:after="0" w:line="293" w:lineRule="auto"/>
        <w:rPr>
          <w:sz w:val="20"/>
          <w:szCs w:val="20"/>
          <w:color w:val="auto"/>
        </w:rPr>
      </w:pPr>
      <w:r>
        <w:rPr>
          <w:rFonts w:ascii="Arial" w:cs="Arial" w:eastAsia="Arial" w:hAnsi="Arial"/>
          <w:sz w:val="15"/>
          <w:szCs w:val="15"/>
          <w:color w:val="3C3C3B"/>
        </w:rPr>
        <w:t>The decrease of €0.2 million in other expenses is mainly due to increasing costs related to maintenance costs of €0.3 million, decreasing costs related to consultants of €0.4 million, and decreasing costs related to shipping and logistics of €0.1 million.</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3C3C3B"/>
        </w:rPr>
        <w:t>General and administrative expenses</w:t>
      </w:r>
    </w:p>
    <w:p>
      <w:pPr>
        <w:spacing w:after="0" w:line="183"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5"/>
          <w:szCs w:val="15"/>
          <w:color w:val="3C3C3B"/>
        </w:rPr>
        <w:t>For the first six months of 2024, general and administrative expenses totaled €10.6 million. These expenses were mainly comprised of €4.4 million in employee expenses and €5.8 million in other expenses.</w:t>
      </w:r>
    </w:p>
    <w:p>
      <w:pPr>
        <w:spacing w:after="0" w:line="136" w:lineRule="exact"/>
        <w:rPr>
          <w:sz w:val="20"/>
          <w:szCs w:val="20"/>
          <w:color w:val="auto"/>
        </w:rPr>
      </w:pPr>
    </w:p>
    <w:p>
      <w:pPr>
        <w:jc w:val="both"/>
        <w:ind w:right="100" w:firstLine="318"/>
        <w:spacing w:after="0" w:line="293" w:lineRule="auto"/>
        <w:rPr>
          <w:sz w:val="20"/>
          <w:szCs w:val="20"/>
          <w:color w:val="auto"/>
        </w:rPr>
      </w:pPr>
      <w:r>
        <w:rPr>
          <w:rFonts w:ascii="Arial" w:cs="Arial" w:eastAsia="Arial" w:hAnsi="Arial"/>
          <w:sz w:val="15"/>
          <w:szCs w:val="15"/>
          <w:color w:val="3C3C3B"/>
        </w:rPr>
        <w:t>For the first six months of 2025, general and administrative expenses totaled €10.0 million. These expenses were mainly comprised of €4.4 million in employee expenses and €5.1 million in other expenses.</w:t>
      </w:r>
    </w:p>
    <w:p>
      <w:pPr>
        <w:spacing w:after="0" w:line="122"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5"/>
          <w:szCs w:val="15"/>
          <w:color w:val="3C3C3B"/>
        </w:rPr>
        <w:t>The decrease of € 0.7 million in other expenses in the general and administrative function was mainly due to decreases in i) donations of €0.2 million, ii) patent maintenance expenses of €0.2 million, iii) consultants of €0.2 million, and iv) recruiting fees of €0.1 million.</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3C3C3B"/>
        </w:rPr>
        <w:t>Marketing and market access expenses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For the first six months of 2024, marketing and market access expenses totaled €0.4 million.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For the first six months of 2025, marketing and market access expenses totaled €0.4 million.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Marketing and market access expenses remained stable period over period.</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E99D25"/>
        </w:rPr>
        <w:t>Financial income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266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For the half-year ended June 30, 2025, financial income amounted to loss of €10.2 million, compared to a loss of €0.9 million for the same period in 2024.</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60" w:type="dxa"/>
            <w:vAlign w:val="bottom"/>
          </w:tcPr>
          <w:p>
            <w:pPr>
              <w:ind w:left="20"/>
              <w:spacing w:after="0"/>
              <w:rPr>
                <w:sz w:val="20"/>
                <w:szCs w:val="20"/>
                <w:color w:val="auto"/>
              </w:rPr>
            </w:pPr>
            <w:r>
              <w:rPr>
                <w:rFonts w:ascii="Arial" w:cs="Arial" w:eastAsia="Arial" w:hAnsi="Arial"/>
                <w:sz w:val="12"/>
                <w:szCs w:val="12"/>
                <w:b w:val="1"/>
                <w:bCs w:val="1"/>
                <w:color w:val="3C3C3B"/>
              </w:rPr>
              <w:t>Financial income and expenses</w:t>
            </w:r>
          </w:p>
        </w:tc>
        <w:tc>
          <w:tcPr>
            <w:tcW w:w="2520" w:type="dxa"/>
            <w:vAlign w:val="bottom"/>
          </w:tcPr>
          <w:p>
            <w:pPr>
              <w:jc w:val="right"/>
              <w:ind w:right="258"/>
              <w:spacing w:after="0"/>
              <w:rPr>
                <w:sz w:val="20"/>
                <w:szCs w:val="20"/>
                <w:color w:val="auto"/>
              </w:rPr>
            </w:pPr>
            <w:r>
              <w:rPr>
                <w:rFonts w:ascii="Arial" w:cs="Arial" w:eastAsia="Arial" w:hAnsi="Arial"/>
                <w:sz w:val="12"/>
                <w:szCs w:val="12"/>
                <w:b w:val="1"/>
                <w:bCs w:val="1"/>
                <w:color w:val="3C3C3B"/>
              </w:rPr>
              <w:t>Half-year ended</w:t>
            </w:r>
          </w:p>
        </w:tc>
        <w:tc>
          <w:tcPr>
            <w:tcW w:w="940" w:type="dxa"/>
            <w:vAlign w:val="bottom"/>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2"/>
        </w:trPr>
        <w:tc>
          <w:tcPr>
            <w:tcW w:w="776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2520" w:type="dxa"/>
            <w:vAlign w:val="bottom"/>
          </w:tcPr>
          <w:p>
            <w:pPr>
              <w:jc w:val="right"/>
              <w:ind w:right="738"/>
              <w:spacing w:after="0"/>
              <w:rPr>
                <w:sz w:val="20"/>
                <w:szCs w:val="20"/>
                <w:color w:val="auto"/>
              </w:rPr>
            </w:pPr>
            <w:r>
              <w:rPr>
                <w:rFonts w:ascii="Arial" w:cs="Arial" w:eastAsia="Arial" w:hAnsi="Arial"/>
                <w:sz w:val="12"/>
                <w:szCs w:val="12"/>
                <w:b w:val="1"/>
                <w:bCs w:val="1"/>
                <w:color w:val="3C3C3B"/>
              </w:rPr>
              <w:t>2024/06/30</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77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2"/>
        </w:trPr>
        <w:tc>
          <w:tcPr>
            <w:tcW w:w="7760" w:type="dxa"/>
            <w:vAlign w:val="bottom"/>
          </w:tcPr>
          <w:p>
            <w:pPr>
              <w:ind w:left="20"/>
              <w:spacing w:after="0"/>
              <w:rPr>
                <w:sz w:val="20"/>
                <w:szCs w:val="20"/>
                <w:color w:val="auto"/>
              </w:rPr>
            </w:pPr>
            <w:r>
              <w:rPr>
                <w:rFonts w:ascii="Arial" w:cs="Arial" w:eastAsia="Arial" w:hAnsi="Arial"/>
                <w:sz w:val="12"/>
                <w:szCs w:val="12"/>
                <w:b w:val="1"/>
                <w:bCs w:val="1"/>
                <w:color w:val="3C3C3B"/>
              </w:rPr>
              <w:t>Financial income</w:t>
            </w:r>
          </w:p>
        </w:tc>
        <w:tc>
          <w:tcPr>
            <w:tcW w:w="25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9"/>
        </w:trPr>
        <w:tc>
          <w:tcPr>
            <w:tcW w:w="77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Interest income</w:t>
            </w:r>
          </w:p>
        </w:tc>
        <w:tc>
          <w:tcPr>
            <w:tcW w:w="2520" w:type="dxa"/>
            <w:vAlign w:val="bottom"/>
            <w:tcBorders>
              <w:bottom w:val="single" w:sz="8" w:color="FDF5E7"/>
            </w:tcBorders>
            <w:shd w:val="clear" w:color="auto" w:fill="FDF5E7"/>
          </w:tcPr>
          <w:p>
            <w:pPr>
              <w:jc w:val="right"/>
              <w:ind w:right="738"/>
              <w:spacing w:after="0"/>
              <w:rPr>
                <w:sz w:val="20"/>
                <w:szCs w:val="20"/>
                <w:color w:val="auto"/>
              </w:rPr>
            </w:pPr>
            <w:r>
              <w:rPr>
                <w:rFonts w:ascii="Arial" w:cs="Arial" w:eastAsia="Arial" w:hAnsi="Arial"/>
                <w:sz w:val="12"/>
                <w:szCs w:val="12"/>
                <w:color w:val="auto"/>
              </w:rPr>
              <w:t>535</w:t>
            </w: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295</w:t>
            </w:r>
          </w:p>
        </w:tc>
      </w:tr>
      <w:tr>
        <w:trPr>
          <w:trHeight w:val="173"/>
        </w:trPr>
        <w:tc>
          <w:tcPr>
            <w:tcW w:w="7760" w:type="dxa"/>
            <w:vAlign w:val="bottom"/>
          </w:tcPr>
          <w:p>
            <w:pPr>
              <w:ind w:left="20"/>
              <w:spacing w:after="0"/>
              <w:rPr>
                <w:sz w:val="20"/>
                <w:szCs w:val="20"/>
                <w:color w:val="auto"/>
              </w:rPr>
            </w:pPr>
            <w:r>
              <w:rPr>
                <w:rFonts w:ascii="Arial" w:cs="Arial" w:eastAsia="Arial" w:hAnsi="Arial"/>
                <w:sz w:val="12"/>
                <w:szCs w:val="12"/>
                <w:color w:val="3C3C3B"/>
              </w:rPr>
              <w:t>Foreign exchange gain</w:t>
            </w:r>
          </w:p>
        </w:tc>
        <w:tc>
          <w:tcPr>
            <w:tcW w:w="2520" w:type="dxa"/>
            <w:vAlign w:val="bottom"/>
          </w:tcPr>
          <w:p>
            <w:pPr>
              <w:jc w:val="right"/>
              <w:ind w:right="738"/>
              <w:spacing w:after="0"/>
              <w:rPr>
                <w:sz w:val="20"/>
                <w:szCs w:val="20"/>
                <w:color w:val="auto"/>
              </w:rPr>
            </w:pPr>
            <w:r>
              <w:rPr>
                <w:rFonts w:ascii="Arial" w:cs="Arial" w:eastAsia="Arial" w:hAnsi="Arial"/>
                <w:sz w:val="12"/>
                <w:szCs w:val="12"/>
                <w:color w:val="auto"/>
              </w:rPr>
              <w:t>271</w:t>
            </w:r>
          </w:p>
        </w:tc>
        <w:tc>
          <w:tcPr>
            <w:tcW w:w="940" w:type="dxa"/>
            <w:vAlign w:val="bottom"/>
          </w:tcPr>
          <w:p>
            <w:pPr>
              <w:jc w:val="right"/>
              <w:spacing w:after="0"/>
              <w:rPr>
                <w:sz w:val="20"/>
                <w:szCs w:val="20"/>
                <w:color w:val="auto"/>
              </w:rPr>
            </w:pPr>
            <w:r>
              <w:rPr>
                <w:rFonts w:ascii="Arial" w:cs="Arial" w:eastAsia="Arial" w:hAnsi="Arial"/>
                <w:sz w:val="12"/>
                <w:szCs w:val="12"/>
                <w:color w:val="auto"/>
              </w:rPr>
              <w:t>322</w:t>
            </w:r>
          </w:p>
        </w:tc>
      </w:tr>
      <w:tr>
        <w:trPr>
          <w:trHeight w:val="26"/>
        </w:trPr>
        <w:tc>
          <w:tcPr>
            <w:tcW w:w="7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9"/>
        </w:trPr>
        <w:tc>
          <w:tcPr>
            <w:tcW w:w="7760" w:type="dxa"/>
            <w:vAlign w:val="bottom"/>
            <w:tcBorders>
              <w:bottom w:val="single" w:sz="8" w:color="FDF6EA"/>
            </w:tcBorders>
            <w:shd w:val="clear" w:color="auto" w:fill="FDF6EA"/>
          </w:tcPr>
          <w:p>
            <w:pPr>
              <w:ind w:left="20"/>
              <w:spacing w:after="0"/>
              <w:rPr>
                <w:sz w:val="20"/>
                <w:szCs w:val="20"/>
                <w:color w:val="auto"/>
              </w:rPr>
            </w:pPr>
            <w:r>
              <w:rPr>
                <w:rFonts w:ascii="Arial" w:cs="Arial" w:eastAsia="Arial" w:hAnsi="Arial"/>
                <w:sz w:val="12"/>
                <w:szCs w:val="12"/>
                <w:color w:val="3C3C3B"/>
              </w:rPr>
              <w:t>Financial income from OCEANE repurchase</w:t>
            </w:r>
          </w:p>
        </w:tc>
        <w:tc>
          <w:tcPr>
            <w:tcW w:w="2520" w:type="dxa"/>
            <w:vAlign w:val="bottom"/>
            <w:tcBorders>
              <w:bottom w:val="single" w:sz="8" w:color="FDF6EA"/>
            </w:tcBorders>
            <w:shd w:val="clear" w:color="auto" w:fill="FDF6EA"/>
          </w:tcPr>
          <w:p>
            <w:pPr>
              <w:jc w:val="right"/>
              <w:ind w:right="738"/>
              <w:spacing w:after="0"/>
              <w:rPr>
                <w:sz w:val="20"/>
                <w:szCs w:val="20"/>
                <w:color w:val="auto"/>
              </w:rPr>
            </w:pPr>
            <w:r>
              <w:rPr>
                <w:rFonts w:ascii="Arial" w:cs="Arial" w:eastAsia="Arial" w:hAnsi="Arial"/>
                <w:sz w:val="12"/>
                <w:szCs w:val="12"/>
                <w:color w:val="auto"/>
              </w:rPr>
              <w:t>0</w:t>
            </w:r>
          </w:p>
        </w:tc>
        <w:tc>
          <w:tcPr>
            <w:tcW w:w="940" w:type="dxa"/>
            <w:vAlign w:val="bottom"/>
            <w:tcBorders>
              <w:bottom w:val="single" w:sz="8" w:color="FDF6EA"/>
            </w:tcBorders>
            <w:shd w:val="clear" w:color="auto" w:fill="FDF6EA"/>
          </w:tcPr>
          <w:p>
            <w:pPr>
              <w:jc w:val="right"/>
              <w:spacing w:after="0"/>
              <w:rPr>
                <w:sz w:val="20"/>
                <w:szCs w:val="20"/>
                <w:color w:val="auto"/>
              </w:rPr>
            </w:pPr>
            <w:r>
              <w:rPr>
                <w:rFonts w:ascii="Arial" w:cs="Arial" w:eastAsia="Arial" w:hAnsi="Arial"/>
                <w:sz w:val="12"/>
                <w:szCs w:val="12"/>
                <w:color w:val="auto"/>
              </w:rPr>
              <w:t>326</w:t>
            </w:r>
          </w:p>
        </w:tc>
      </w:tr>
      <w:tr>
        <w:trPr>
          <w:trHeight w:val="173"/>
        </w:trPr>
        <w:tc>
          <w:tcPr>
            <w:tcW w:w="7760" w:type="dxa"/>
            <w:vAlign w:val="bottom"/>
          </w:tcPr>
          <w:p>
            <w:pPr>
              <w:ind w:left="20"/>
              <w:spacing w:after="0"/>
              <w:rPr>
                <w:sz w:val="20"/>
                <w:szCs w:val="20"/>
                <w:color w:val="auto"/>
              </w:rPr>
            </w:pPr>
            <w:r>
              <w:rPr>
                <w:rFonts w:ascii="Arial" w:cs="Arial" w:eastAsia="Arial" w:hAnsi="Arial"/>
                <w:sz w:val="12"/>
                <w:szCs w:val="12"/>
                <w:color w:val="3C3C3B"/>
              </w:rPr>
              <w:t>Other financial income</w:t>
            </w:r>
          </w:p>
        </w:tc>
        <w:tc>
          <w:tcPr>
            <w:tcW w:w="2520" w:type="dxa"/>
            <w:vAlign w:val="bottom"/>
          </w:tcPr>
          <w:p>
            <w:pPr>
              <w:jc w:val="right"/>
              <w:ind w:right="738"/>
              <w:spacing w:after="0"/>
              <w:rPr>
                <w:sz w:val="20"/>
                <w:szCs w:val="20"/>
                <w:color w:val="auto"/>
              </w:rPr>
            </w:pPr>
            <w:r>
              <w:rPr>
                <w:rFonts w:ascii="Arial" w:cs="Arial" w:eastAsia="Arial" w:hAnsi="Arial"/>
                <w:sz w:val="12"/>
                <w:szCs w:val="12"/>
                <w:color w:val="auto"/>
              </w:rPr>
              <w:t>740</w:t>
            </w:r>
          </w:p>
        </w:tc>
        <w:tc>
          <w:tcPr>
            <w:tcW w:w="940" w:type="dxa"/>
            <w:vAlign w:val="bottom"/>
          </w:tcPr>
          <w:p>
            <w:pPr>
              <w:jc w:val="right"/>
              <w:spacing w:after="0"/>
              <w:rPr>
                <w:sz w:val="20"/>
                <w:szCs w:val="20"/>
                <w:color w:val="auto"/>
              </w:rPr>
            </w:pPr>
            <w:r>
              <w:rPr>
                <w:rFonts w:ascii="Arial" w:cs="Arial" w:eastAsia="Arial" w:hAnsi="Arial"/>
                <w:sz w:val="12"/>
                <w:szCs w:val="12"/>
                <w:color w:val="auto"/>
              </w:rPr>
              <w:t>906</w:t>
            </w:r>
          </w:p>
        </w:tc>
      </w:tr>
      <w:tr>
        <w:trPr>
          <w:trHeight w:val="26"/>
        </w:trPr>
        <w:tc>
          <w:tcPr>
            <w:tcW w:w="77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2"/>
        </w:trPr>
        <w:tc>
          <w:tcPr>
            <w:tcW w:w="7760" w:type="dxa"/>
            <w:vAlign w:val="bottom"/>
          </w:tcPr>
          <w:p>
            <w:pPr>
              <w:ind w:left="20"/>
              <w:spacing w:after="0"/>
              <w:rPr>
                <w:sz w:val="20"/>
                <w:szCs w:val="20"/>
                <w:color w:val="auto"/>
              </w:rPr>
            </w:pPr>
            <w:r>
              <w:rPr>
                <w:rFonts w:ascii="Arial" w:cs="Arial" w:eastAsia="Arial" w:hAnsi="Arial"/>
                <w:sz w:val="12"/>
                <w:szCs w:val="12"/>
                <w:b w:val="1"/>
                <w:bCs w:val="1"/>
                <w:i w:val="1"/>
                <w:iCs w:val="1"/>
                <w:color w:val="3C3C3B"/>
              </w:rPr>
              <w:t>TOTAL - Financial income</w:t>
            </w:r>
          </w:p>
        </w:tc>
        <w:tc>
          <w:tcPr>
            <w:tcW w:w="2520" w:type="dxa"/>
            <w:vAlign w:val="bottom"/>
          </w:tcPr>
          <w:p>
            <w:pPr>
              <w:jc w:val="right"/>
              <w:ind w:right="738"/>
              <w:spacing w:after="0"/>
              <w:rPr>
                <w:sz w:val="20"/>
                <w:szCs w:val="20"/>
                <w:color w:val="auto"/>
              </w:rPr>
            </w:pPr>
            <w:r>
              <w:rPr>
                <w:rFonts w:ascii="Arial" w:cs="Arial" w:eastAsia="Arial" w:hAnsi="Arial"/>
                <w:sz w:val="12"/>
                <w:szCs w:val="12"/>
                <w:b w:val="1"/>
                <w:bCs w:val="1"/>
                <w:i w:val="1"/>
                <w:iCs w:val="1"/>
                <w:color w:val="auto"/>
              </w:rPr>
              <w:t>1,546</w:t>
            </w:r>
          </w:p>
        </w:tc>
        <w:tc>
          <w:tcPr>
            <w:tcW w:w="9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1,850</w:t>
            </w:r>
          </w:p>
        </w:tc>
      </w:tr>
      <w:tr>
        <w:trPr>
          <w:trHeight w:val="20"/>
        </w:trPr>
        <w:tc>
          <w:tcPr>
            <w:tcW w:w="77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2"/>
        </w:trPr>
        <w:tc>
          <w:tcPr>
            <w:tcW w:w="7760" w:type="dxa"/>
            <w:vAlign w:val="bottom"/>
          </w:tcPr>
          <w:p>
            <w:pPr>
              <w:ind w:left="20"/>
              <w:spacing w:after="0"/>
              <w:rPr>
                <w:sz w:val="20"/>
                <w:szCs w:val="20"/>
                <w:color w:val="auto"/>
              </w:rPr>
            </w:pPr>
            <w:r>
              <w:rPr>
                <w:rFonts w:ascii="Arial" w:cs="Arial" w:eastAsia="Arial" w:hAnsi="Arial"/>
                <w:sz w:val="12"/>
                <w:szCs w:val="12"/>
                <w:b w:val="1"/>
                <w:bCs w:val="1"/>
                <w:color w:val="3C3C3B"/>
              </w:rPr>
              <w:t>Financial expenses</w:t>
            </w:r>
          </w:p>
        </w:tc>
        <w:tc>
          <w:tcPr>
            <w:tcW w:w="25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9"/>
        </w:trPr>
        <w:tc>
          <w:tcPr>
            <w:tcW w:w="7760" w:type="dxa"/>
            <w:vAlign w:val="bottom"/>
            <w:tcBorders>
              <w:bottom w:val="single" w:sz="8" w:color="FDF6EA"/>
            </w:tcBorders>
            <w:shd w:val="clear" w:color="auto" w:fill="FDF6EA"/>
          </w:tcPr>
          <w:p>
            <w:pPr>
              <w:ind w:left="20"/>
              <w:spacing w:after="0"/>
              <w:rPr>
                <w:sz w:val="20"/>
                <w:szCs w:val="20"/>
                <w:color w:val="auto"/>
              </w:rPr>
            </w:pPr>
            <w:r>
              <w:rPr>
                <w:rFonts w:ascii="Arial" w:cs="Arial" w:eastAsia="Arial" w:hAnsi="Arial"/>
                <w:sz w:val="12"/>
                <w:szCs w:val="12"/>
                <w:color w:val="3C3C3B"/>
              </w:rPr>
              <w:t>Interest expenses</w:t>
            </w:r>
          </w:p>
        </w:tc>
        <w:tc>
          <w:tcPr>
            <w:tcW w:w="2520" w:type="dxa"/>
            <w:vAlign w:val="bottom"/>
            <w:tcBorders>
              <w:bottom w:val="single" w:sz="8" w:color="FDF6EA"/>
            </w:tcBorders>
            <w:shd w:val="clear" w:color="auto" w:fill="FDF6EA"/>
          </w:tcPr>
          <w:p>
            <w:pPr>
              <w:jc w:val="right"/>
              <w:ind w:right="738"/>
              <w:spacing w:after="0"/>
              <w:rPr>
                <w:sz w:val="20"/>
                <w:szCs w:val="20"/>
                <w:color w:val="auto"/>
              </w:rPr>
            </w:pPr>
            <w:r>
              <w:rPr>
                <w:rFonts w:ascii="Arial" w:cs="Arial" w:eastAsia="Arial" w:hAnsi="Arial"/>
                <w:sz w:val="12"/>
                <w:szCs w:val="12"/>
                <w:color w:val="auto"/>
              </w:rPr>
              <w:t>(2,327)</w:t>
            </w:r>
          </w:p>
        </w:tc>
        <w:tc>
          <w:tcPr>
            <w:tcW w:w="940" w:type="dxa"/>
            <w:vAlign w:val="bottom"/>
            <w:tcBorders>
              <w:bottom w:val="single" w:sz="8" w:color="FDF6EA"/>
            </w:tcBorders>
            <w:shd w:val="clear" w:color="auto" w:fill="FDF6EA"/>
          </w:tcPr>
          <w:p>
            <w:pPr>
              <w:jc w:val="right"/>
              <w:spacing w:after="0"/>
              <w:rPr>
                <w:sz w:val="20"/>
                <w:szCs w:val="20"/>
                <w:color w:val="auto"/>
              </w:rPr>
            </w:pPr>
            <w:r>
              <w:rPr>
                <w:rFonts w:ascii="Arial" w:cs="Arial" w:eastAsia="Arial" w:hAnsi="Arial"/>
                <w:sz w:val="12"/>
                <w:szCs w:val="12"/>
                <w:color w:val="auto"/>
              </w:rPr>
              <w:t>(1,126)</w:t>
            </w:r>
          </w:p>
        </w:tc>
      </w:tr>
      <w:tr>
        <w:trPr>
          <w:trHeight w:val="173"/>
        </w:trPr>
        <w:tc>
          <w:tcPr>
            <w:tcW w:w="7760" w:type="dxa"/>
            <w:vAlign w:val="bottom"/>
          </w:tcPr>
          <w:p>
            <w:pPr>
              <w:ind w:left="20"/>
              <w:spacing w:after="0"/>
              <w:rPr>
                <w:sz w:val="20"/>
                <w:szCs w:val="20"/>
                <w:color w:val="auto"/>
              </w:rPr>
            </w:pPr>
            <w:r>
              <w:rPr>
                <w:rFonts w:ascii="Arial" w:cs="Arial" w:eastAsia="Arial" w:hAnsi="Arial"/>
                <w:sz w:val="12"/>
                <w:szCs w:val="12"/>
                <w:color w:val="3C3C3B"/>
              </w:rPr>
              <w:t>Interest expenses for leases</w:t>
            </w:r>
          </w:p>
        </w:tc>
        <w:tc>
          <w:tcPr>
            <w:tcW w:w="2520" w:type="dxa"/>
            <w:vAlign w:val="bottom"/>
          </w:tcPr>
          <w:p>
            <w:pPr>
              <w:jc w:val="right"/>
              <w:ind w:right="738"/>
              <w:spacing w:after="0"/>
              <w:rPr>
                <w:sz w:val="20"/>
                <w:szCs w:val="20"/>
                <w:color w:val="auto"/>
              </w:rPr>
            </w:pPr>
            <w:r>
              <w:rPr>
                <w:rFonts w:ascii="Arial" w:cs="Arial" w:eastAsia="Arial" w:hAnsi="Arial"/>
                <w:sz w:val="12"/>
                <w:szCs w:val="12"/>
                <w:color w:val="auto"/>
              </w:rPr>
              <w:t>(33)</w:t>
            </w:r>
          </w:p>
        </w:tc>
        <w:tc>
          <w:tcPr>
            <w:tcW w:w="94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26"/>
        </w:trPr>
        <w:tc>
          <w:tcPr>
            <w:tcW w:w="7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9"/>
        </w:trPr>
        <w:tc>
          <w:tcPr>
            <w:tcW w:w="7760" w:type="dxa"/>
            <w:vAlign w:val="bottom"/>
            <w:tcBorders>
              <w:bottom w:val="single" w:sz="8" w:color="FDF6EA"/>
            </w:tcBorders>
            <w:shd w:val="clear" w:color="auto" w:fill="FDF6EA"/>
          </w:tcPr>
          <w:p>
            <w:pPr>
              <w:ind w:left="20"/>
              <w:spacing w:after="0"/>
              <w:rPr>
                <w:sz w:val="20"/>
                <w:szCs w:val="20"/>
                <w:color w:val="auto"/>
              </w:rPr>
            </w:pPr>
            <w:r>
              <w:rPr>
                <w:rFonts w:ascii="Arial" w:cs="Arial" w:eastAsia="Arial" w:hAnsi="Arial"/>
                <w:sz w:val="12"/>
                <w:szCs w:val="12"/>
                <w:color w:val="3C3C3B"/>
              </w:rPr>
              <w:t>Royalty financing debt issuance costs</w:t>
            </w:r>
          </w:p>
        </w:tc>
        <w:tc>
          <w:tcPr>
            <w:tcW w:w="2520" w:type="dxa"/>
            <w:vAlign w:val="bottom"/>
            <w:tcBorders>
              <w:bottom w:val="single" w:sz="8" w:color="FDF6EA"/>
            </w:tcBorders>
            <w:shd w:val="clear" w:color="auto" w:fill="FDF6EA"/>
          </w:tcPr>
          <w:p>
            <w:pPr>
              <w:jc w:val="right"/>
              <w:ind w:right="738"/>
              <w:spacing w:after="0"/>
              <w:rPr>
                <w:sz w:val="20"/>
                <w:szCs w:val="20"/>
                <w:color w:val="auto"/>
              </w:rPr>
            </w:pPr>
            <w:r>
              <w:rPr>
                <w:rFonts w:ascii="Arial" w:cs="Arial" w:eastAsia="Arial" w:hAnsi="Arial"/>
                <w:sz w:val="12"/>
                <w:szCs w:val="12"/>
                <w:color w:val="auto"/>
              </w:rPr>
              <w:t>0</w:t>
            </w:r>
          </w:p>
        </w:tc>
        <w:tc>
          <w:tcPr>
            <w:tcW w:w="940" w:type="dxa"/>
            <w:vAlign w:val="bottom"/>
            <w:tcBorders>
              <w:bottom w:val="single" w:sz="8" w:color="FDF6EA"/>
            </w:tcBorders>
            <w:shd w:val="clear" w:color="auto" w:fill="FDF6EA"/>
          </w:tcPr>
          <w:p>
            <w:pPr>
              <w:jc w:val="right"/>
              <w:spacing w:after="0"/>
              <w:rPr>
                <w:sz w:val="20"/>
                <w:szCs w:val="20"/>
                <w:color w:val="auto"/>
              </w:rPr>
            </w:pPr>
            <w:r>
              <w:rPr>
                <w:rFonts w:ascii="Arial" w:cs="Arial" w:eastAsia="Arial" w:hAnsi="Arial"/>
                <w:sz w:val="12"/>
                <w:szCs w:val="12"/>
                <w:color w:val="auto"/>
              </w:rPr>
              <w:t>(4,020)</w:t>
            </w:r>
          </w:p>
        </w:tc>
      </w:tr>
      <w:tr>
        <w:trPr>
          <w:trHeight w:val="173"/>
        </w:trPr>
        <w:tc>
          <w:tcPr>
            <w:tcW w:w="7760" w:type="dxa"/>
            <w:vAlign w:val="bottom"/>
          </w:tcPr>
          <w:p>
            <w:pPr>
              <w:ind w:left="20"/>
              <w:spacing w:after="0"/>
              <w:rPr>
                <w:sz w:val="20"/>
                <w:szCs w:val="20"/>
                <w:color w:val="auto"/>
              </w:rPr>
            </w:pPr>
            <w:r>
              <w:rPr>
                <w:rFonts w:ascii="Arial" w:cs="Arial" w:eastAsia="Arial" w:hAnsi="Arial"/>
                <w:sz w:val="12"/>
                <w:szCs w:val="12"/>
                <w:color w:val="3C3C3B"/>
              </w:rPr>
              <w:t>Changes in fair value through profit or loss</w:t>
            </w:r>
          </w:p>
        </w:tc>
        <w:tc>
          <w:tcPr>
            <w:tcW w:w="2520" w:type="dxa"/>
            <w:vAlign w:val="bottom"/>
          </w:tcPr>
          <w:p>
            <w:pPr>
              <w:jc w:val="right"/>
              <w:ind w:right="738"/>
              <w:spacing w:after="0"/>
              <w:rPr>
                <w:sz w:val="20"/>
                <w:szCs w:val="20"/>
                <w:color w:val="auto"/>
              </w:rPr>
            </w:pPr>
            <w:r>
              <w:rPr>
                <w:rFonts w:ascii="Arial" w:cs="Arial" w:eastAsia="Arial" w:hAnsi="Arial"/>
                <w:sz w:val="12"/>
                <w:szCs w:val="12"/>
                <w:color w:val="auto"/>
              </w:rPr>
              <w:t>0</w:t>
            </w:r>
          </w:p>
        </w:tc>
        <w:tc>
          <w:tcPr>
            <w:tcW w:w="940" w:type="dxa"/>
            <w:vAlign w:val="bottom"/>
          </w:tcPr>
          <w:p>
            <w:pPr>
              <w:jc w:val="right"/>
              <w:spacing w:after="0"/>
              <w:rPr>
                <w:sz w:val="20"/>
                <w:szCs w:val="20"/>
                <w:color w:val="auto"/>
              </w:rPr>
            </w:pPr>
            <w:r>
              <w:rPr>
                <w:rFonts w:ascii="Arial" w:cs="Arial" w:eastAsia="Arial" w:hAnsi="Arial"/>
                <w:sz w:val="12"/>
                <w:szCs w:val="12"/>
                <w:color w:val="auto"/>
              </w:rPr>
              <w:t>(5,434)</w:t>
            </w:r>
          </w:p>
        </w:tc>
      </w:tr>
      <w:tr>
        <w:trPr>
          <w:trHeight w:val="26"/>
        </w:trPr>
        <w:tc>
          <w:tcPr>
            <w:tcW w:w="7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9"/>
        </w:trPr>
        <w:tc>
          <w:tcPr>
            <w:tcW w:w="77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Foreign exchange losses</w:t>
            </w:r>
          </w:p>
        </w:tc>
        <w:tc>
          <w:tcPr>
            <w:tcW w:w="2520" w:type="dxa"/>
            <w:vAlign w:val="bottom"/>
            <w:tcBorders>
              <w:bottom w:val="single" w:sz="8" w:color="FDF5E7"/>
            </w:tcBorders>
            <w:shd w:val="clear" w:color="auto" w:fill="FDF5E7"/>
          </w:tcPr>
          <w:p>
            <w:pPr>
              <w:jc w:val="right"/>
              <w:ind w:right="738"/>
              <w:spacing w:after="0"/>
              <w:rPr>
                <w:sz w:val="20"/>
                <w:szCs w:val="20"/>
                <w:color w:val="auto"/>
              </w:rPr>
            </w:pPr>
            <w:r>
              <w:rPr>
                <w:rFonts w:ascii="Arial" w:cs="Arial" w:eastAsia="Arial" w:hAnsi="Arial"/>
                <w:sz w:val="12"/>
                <w:szCs w:val="12"/>
                <w:color w:val="auto"/>
              </w:rPr>
              <w:t>(42)</w:t>
            </w: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(1,399)</w:t>
            </w:r>
          </w:p>
        </w:tc>
      </w:tr>
      <w:tr>
        <w:trPr>
          <w:trHeight w:val="173"/>
        </w:trPr>
        <w:tc>
          <w:tcPr>
            <w:tcW w:w="7760" w:type="dxa"/>
            <w:vAlign w:val="bottom"/>
          </w:tcPr>
          <w:p>
            <w:pPr>
              <w:ind w:left="20"/>
              <w:spacing w:after="0"/>
              <w:rPr>
                <w:sz w:val="20"/>
                <w:szCs w:val="20"/>
                <w:color w:val="auto"/>
              </w:rPr>
            </w:pPr>
            <w:r>
              <w:rPr>
                <w:rFonts w:ascii="Arial" w:cs="Arial" w:eastAsia="Arial" w:hAnsi="Arial"/>
                <w:sz w:val="12"/>
                <w:szCs w:val="12"/>
                <w:color w:val="3C3C3B"/>
              </w:rPr>
              <w:t>Other financial expenses</w:t>
            </w:r>
          </w:p>
        </w:tc>
        <w:tc>
          <w:tcPr>
            <w:tcW w:w="2520" w:type="dxa"/>
            <w:vAlign w:val="bottom"/>
          </w:tcPr>
          <w:p>
            <w:pPr>
              <w:jc w:val="right"/>
              <w:ind w:right="738"/>
              <w:spacing w:after="0"/>
              <w:rPr>
                <w:sz w:val="20"/>
                <w:szCs w:val="20"/>
                <w:color w:val="auto"/>
              </w:rPr>
            </w:pPr>
            <w:r>
              <w:rPr>
                <w:rFonts w:ascii="Arial" w:cs="Arial" w:eastAsia="Arial" w:hAnsi="Arial"/>
                <w:sz w:val="12"/>
                <w:szCs w:val="12"/>
                <w:color w:val="auto"/>
              </w:rPr>
              <w:t>(18)</w:t>
            </w:r>
          </w:p>
        </w:tc>
        <w:tc>
          <w:tcPr>
            <w:tcW w:w="94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26"/>
        </w:trPr>
        <w:tc>
          <w:tcPr>
            <w:tcW w:w="77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2"/>
        </w:trPr>
        <w:tc>
          <w:tcPr>
            <w:tcW w:w="7760" w:type="dxa"/>
            <w:vAlign w:val="bottom"/>
          </w:tcPr>
          <w:p>
            <w:pPr>
              <w:ind w:left="20"/>
              <w:spacing w:after="0"/>
              <w:rPr>
                <w:sz w:val="20"/>
                <w:szCs w:val="20"/>
                <w:color w:val="auto"/>
              </w:rPr>
            </w:pPr>
            <w:r>
              <w:rPr>
                <w:rFonts w:ascii="Arial" w:cs="Arial" w:eastAsia="Arial" w:hAnsi="Arial"/>
                <w:sz w:val="12"/>
                <w:szCs w:val="12"/>
                <w:b w:val="1"/>
                <w:bCs w:val="1"/>
                <w:i w:val="1"/>
                <w:iCs w:val="1"/>
                <w:color w:val="3C3C3B"/>
              </w:rPr>
              <w:t>TOTAL - Financial expenses</w:t>
            </w:r>
          </w:p>
        </w:tc>
        <w:tc>
          <w:tcPr>
            <w:tcW w:w="2520" w:type="dxa"/>
            <w:vAlign w:val="bottom"/>
          </w:tcPr>
          <w:p>
            <w:pPr>
              <w:jc w:val="right"/>
              <w:ind w:right="738"/>
              <w:spacing w:after="0"/>
              <w:rPr>
                <w:sz w:val="20"/>
                <w:szCs w:val="20"/>
                <w:color w:val="auto"/>
              </w:rPr>
            </w:pPr>
            <w:r>
              <w:rPr>
                <w:rFonts w:ascii="Arial" w:cs="Arial" w:eastAsia="Arial" w:hAnsi="Arial"/>
                <w:sz w:val="12"/>
                <w:szCs w:val="12"/>
                <w:b w:val="1"/>
                <w:bCs w:val="1"/>
                <w:i w:val="1"/>
                <w:iCs w:val="1"/>
                <w:color w:val="auto"/>
              </w:rPr>
              <w:t>(2,419)</w:t>
            </w:r>
          </w:p>
        </w:tc>
        <w:tc>
          <w:tcPr>
            <w:tcW w:w="9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(12,027)</w:t>
            </w:r>
          </w:p>
        </w:tc>
      </w:tr>
      <w:tr>
        <w:trPr>
          <w:trHeight w:val="20"/>
        </w:trPr>
        <w:tc>
          <w:tcPr>
            <w:tcW w:w="77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2"/>
        </w:trPr>
        <w:tc>
          <w:tcPr>
            <w:tcW w:w="7760" w:type="dxa"/>
            <w:vAlign w:val="bottom"/>
          </w:tcPr>
          <w:p>
            <w:pPr>
              <w:ind w:left="20"/>
              <w:spacing w:after="0"/>
              <w:rPr>
                <w:sz w:val="20"/>
                <w:szCs w:val="20"/>
                <w:color w:val="auto"/>
              </w:rPr>
            </w:pPr>
            <w:r>
              <w:rPr>
                <w:rFonts w:ascii="Arial" w:cs="Arial" w:eastAsia="Arial" w:hAnsi="Arial"/>
                <w:sz w:val="12"/>
                <w:szCs w:val="12"/>
                <w:b w:val="1"/>
                <w:bCs w:val="1"/>
                <w:color w:val="E99D25"/>
              </w:rPr>
              <w:t>FINANCIAL GAIN (LOSS)</w:t>
            </w:r>
          </w:p>
        </w:tc>
        <w:tc>
          <w:tcPr>
            <w:tcW w:w="2520" w:type="dxa"/>
            <w:vAlign w:val="bottom"/>
          </w:tcPr>
          <w:p>
            <w:pPr>
              <w:jc w:val="right"/>
              <w:ind w:right="738"/>
              <w:spacing w:after="0"/>
              <w:rPr>
                <w:sz w:val="20"/>
                <w:szCs w:val="20"/>
                <w:color w:val="auto"/>
              </w:rPr>
            </w:pPr>
            <w:r>
              <w:rPr>
                <w:rFonts w:ascii="Arial" w:cs="Arial" w:eastAsia="Arial" w:hAnsi="Arial"/>
                <w:sz w:val="12"/>
                <w:szCs w:val="12"/>
                <w:b w:val="1"/>
                <w:bCs w:val="1"/>
                <w:color w:val="auto"/>
              </w:rPr>
              <w:t>(873)</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E99D25"/>
              </w:rPr>
              <w:t>(10,178)</w:t>
            </w:r>
          </w:p>
        </w:tc>
      </w:tr>
      <w:tr>
        <w:trPr>
          <w:trHeight w:val="20"/>
        </w:trPr>
        <w:tc>
          <w:tcPr>
            <w:tcW w:w="77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right="100" w:firstLine="318"/>
        <w:spacing w:after="0" w:line="293" w:lineRule="auto"/>
        <w:rPr>
          <w:sz w:val="20"/>
          <w:szCs w:val="20"/>
          <w:color w:val="auto"/>
        </w:rPr>
      </w:pPr>
      <w:r>
        <w:rPr>
          <w:rFonts w:ascii="Arial" w:cs="Arial" w:eastAsia="Arial" w:hAnsi="Arial"/>
          <w:sz w:val="15"/>
          <w:szCs w:val="15"/>
          <w:color w:val="3C3C3B"/>
        </w:rPr>
        <w:t>For the first six months of 2024, this is primarily the result of interest expense of €2.4 million, realized and unrealized net foreign exchange gain of €0.2 million, and in accrued and realized interest income €1.3 million.</w:t>
      </w:r>
    </w:p>
    <w:p>
      <w:pPr>
        <w:spacing w:after="0" w:line="122" w:lineRule="exact"/>
        <w:rPr>
          <w:sz w:val="20"/>
          <w:szCs w:val="20"/>
          <w:color w:val="auto"/>
        </w:rPr>
      </w:pPr>
    </w:p>
    <w:p>
      <w:pPr>
        <w:jc w:val="both"/>
        <w:ind w:right="100" w:firstLine="318"/>
        <w:spacing w:after="0" w:line="266" w:lineRule="auto"/>
        <w:rPr>
          <w:sz w:val="20"/>
          <w:szCs w:val="20"/>
          <w:color w:val="auto"/>
        </w:rPr>
      </w:pPr>
      <w:r>
        <w:rPr>
          <w:rFonts w:ascii="Arial" w:cs="Arial" w:eastAsia="Arial" w:hAnsi="Arial"/>
          <w:sz w:val="15"/>
          <w:szCs w:val="15"/>
          <w:color w:val="3C3C3B"/>
        </w:rPr>
        <w:t>For the first six months of 2025, this is primarily the result of interest expense of €1.3 million, realized and unrealized net foreign exchange loss of €1.1 million, accrued and realized interest income €1.2 million in, a one-time gain related to the OCEANEs repurchase of €0.3 million, Royalty Financing issuance costs of €4.0 million, and changes in fair value related to the Royalty Financing liability of €5.4 million.</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E99D25"/>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266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first half of 2025 resulted in net loss of €9,956 thousand compared with a net profit of €30,311 thousand in the first half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830" w:type="dxa"/>
        <w:tblCellMar>
          <w:top w:w="0" w:type="dxa"/>
          <w:left w:w="0" w:type="dxa"/>
          <w:bottom w:w="0" w:type="dxa"/>
          <w:right w:w="0" w:type="dxa"/>
        </w:tblCellMar>
      </w:tblPr>
      <w:tr>
        <w:trPr>
          <w:trHeight w:val="146"/>
        </w:trPr>
        <w:tc>
          <w:tcPr>
            <w:tcW w:w="7880" w:type="dxa"/>
            <w:vAlign w:val="bottom"/>
            <w:tcBorders>
              <w:left w:val="single" w:sz="8" w:color="57879D"/>
            </w:tcBorders>
            <w:vMerge w:val="restart"/>
          </w:tcPr>
          <w:p>
            <w:pPr>
              <w:ind w:left="40"/>
              <w:spacing w:after="0"/>
              <w:rPr>
                <w:sz w:val="20"/>
                <w:szCs w:val="20"/>
                <w:color w:val="auto"/>
              </w:rPr>
            </w:pPr>
            <w:r>
              <w:rPr>
                <w:rFonts w:ascii="Arial" w:cs="Arial" w:eastAsia="Arial" w:hAnsi="Arial"/>
                <w:sz w:val="15"/>
                <w:szCs w:val="15"/>
                <w:color w:val="3C3C3B"/>
              </w:rPr>
              <w:t>Half-Year Business and Financial Report at June 30, 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7880" w:type="dxa"/>
            <w:vAlign w:val="bottom"/>
            <w:tcBorders>
              <w:left w:val="single" w:sz="8" w:color="57879D"/>
            </w:tcBorders>
            <w:vMerge w:val="continue"/>
          </w:tcPr>
          <w:p>
            <w:pPr>
              <w:spacing w:after="0"/>
              <w:rPr>
                <w:sz w:val="22"/>
                <w:szCs w:val="22"/>
                <w:color w:val="auto"/>
              </w:rPr>
            </w:pPr>
          </w:p>
        </w:tc>
        <w:tc>
          <w:tcPr>
            <w:tcW w:w="640" w:type="dxa"/>
            <w:vAlign w:val="bottom"/>
            <w:shd w:val="clear" w:color="auto" w:fill="DBDBDB"/>
          </w:tcPr>
          <w:p>
            <w:pPr>
              <w:jc w:val="right"/>
              <w:ind w:right="385"/>
              <w:spacing w:after="0"/>
              <w:rPr>
                <w:sz w:val="20"/>
                <w:szCs w:val="20"/>
                <w:color w:val="auto"/>
              </w:rPr>
            </w:pPr>
            <w:r>
              <w:rPr>
                <w:rFonts w:ascii="Arial" w:cs="Arial" w:eastAsia="Arial" w:hAnsi="Arial"/>
                <w:sz w:val="15"/>
                <w:szCs w:val="15"/>
                <w:color w:val="3C3C3B"/>
                <w:w w:val="95"/>
              </w:rPr>
              <w:t>12</w:t>
            </w:r>
          </w:p>
        </w:tc>
        <w:tc>
          <w:tcPr>
            <w:tcW w:w="0" w:type="dxa"/>
            <w:vAlign w:val="bottom"/>
          </w:tcPr>
          <w:p>
            <w:pPr>
              <w:spacing w:after="0"/>
              <w:rPr>
                <w:sz w:val="1"/>
                <w:szCs w:val="1"/>
                <w:color w:val="auto"/>
              </w:rPr>
            </w:pPr>
          </w:p>
        </w:tc>
      </w:tr>
      <w:tr>
        <w:trPr>
          <w:trHeight w:val="71"/>
        </w:trPr>
        <w:tc>
          <w:tcPr>
            <w:tcW w:w="7880" w:type="dxa"/>
            <w:vAlign w:val="bottom"/>
            <w:tcBorders>
              <w:left w:val="single" w:sz="8" w:color="57879D"/>
            </w:tcBorders>
          </w:tcPr>
          <w:p>
            <w:pPr>
              <w:spacing w:after="0"/>
              <w:rPr>
                <w:sz w:val="6"/>
                <w:szCs w:val="6"/>
                <w:color w:val="auto"/>
              </w:rPr>
            </w:pPr>
          </w:p>
        </w:tc>
        <w:tc>
          <w:tcPr>
            <w:tcW w:w="6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7880" w:type="dxa"/>
            <w:vAlign w:val="bottom"/>
            <w:tcBorders>
              <w:left w:val="single" w:sz="8" w:color="57879D"/>
            </w:tcBorders>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-369570</wp:posOffset>
            </wp:positionV>
            <wp:extent cx="1094105" cy="277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94105" cy="277495"/>
                    </a:xfrm>
                    <a:prstGeom prst="rect">
                      <a:avLst/>
                    </a:prstGeom>
                    <a:noFill/>
                  </pic:spPr>
                </pic:pic>
              </a:graphicData>
            </a:graphic>
          </wp:anchor>
        </w:drawing>
      </w:r>
    </w:p>
    <w:p>
      <w:pPr>
        <w:sectPr>
          <w:pgSz w:w="11900" w:h="16838" w:orient="portrait"/>
          <w:cols w:equalWidth="0" w:num="1">
            <w:col w:w="11340"/>
          </w:cols>
          <w:pgMar w:left="320" w:top="1301" w:right="239" w:bottom="1440" w:gutter="0" w:footer="0" w:header="0"/>
        </w:sectPr>
      </w:pPr>
    </w:p>
    <w:bookmarkStart w:id="18" w:name="page19"/>
    <w:bookmarkEnd w:id="18"/>
    <w:p>
      <w:pPr>
        <w:ind w:left="440"/>
        <w:spacing w:after="0"/>
        <w:tabs>
          <w:tab w:leader="none" w:pos="1160" w:val="left"/>
        </w:tabs>
        <w:rPr>
          <w:sz w:val="20"/>
          <w:szCs w:val="20"/>
          <w:color w:val="auto"/>
        </w:rPr>
      </w:pPr>
      <w:r>
        <w:rPr>
          <w:rFonts w:ascii="Arial" w:cs="Arial" w:eastAsia="Arial" w:hAnsi="Arial"/>
          <w:sz w:val="21"/>
          <w:szCs w:val="21"/>
          <w:b w:val="1"/>
          <w:bCs w:val="1"/>
          <w:color w:val="005578"/>
        </w:rPr>
        <w:t>2.3.2</w:t>
        <w:tab/>
        <w:t>Comments on the Group’s Cash Flows for the periods ended June 30, 2024 and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266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As of June 30, 2025, cash and cash equivalents amounted to €107,511 (€81,788 as of December 31, 2024).</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Over the period, changes in cash flow by type of flow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80" w:type="dxa"/>
            <w:vAlign w:val="bottom"/>
          </w:tcPr>
          <w:p>
            <w:pPr>
              <w:spacing w:after="0"/>
              <w:rPr>
                <w:sz w:val="14"/>
                <w:szCs w:val="14"/>
                <w:color w:val="auto"/>
              </w:rPr>
            </w:pPr>
          </w:p>
        </w:tc>
        <w:tc>
          <w:tcPr>
            <w:tcW w:w="2580" w:type="dxa"/>
            <w:vAlign w:val="bottom"/>
          </w:tcPr>
          <w:p>
            <w:pPr>
              <w:jc w:val="right"/>
              <w:ind w:right="278"/>
              <w:spacing w:after="0"/>
              <w:rPr>
                <w:sz w:val="20"/>
                <w:szCs w:val="20"/>
                <w:color w:val="auto"/>
              </w:rPr>
            </w:pPr>
            <w:r>
              <w:rPr>
                <w:rFonts w:ascii="Arial" w:cs="Arial" w:eastAsia="Arial" w:hAnsi="Arial"/>
                <w:sz w:val="12"/>
                <w:szCs w:val="12"/>
                <w:b w:val="1"/>
                <w:bCs w:val="1"/>
                <w:color w:val="3C3C3B"/>
              </w:rPr>
              <w:t>Half-year ended</w:t>
            </w:r>
          </w:p>
        </w:tc>
        <w:tc>
          <w:tcPr>
            <w:tcW w:w="960" w:type="dxa"/>
            <w:vAlign w:val="bottom"/>
          </w:tcPr>
          <w:p>
            <w:pPr>
              <w:spacing w:after="0"/>
              <w:rPr>
                <w:sz w:val="14"/>
                <w:szCs w:val="14"/>
                <w:color w:val="auto"/>
              </w:rPr>
            </w:pPr>
          </w:p>
        </w:tc>
      </w:tr>
      <w:tr>
        <w:trPr>
          <w:trHeight w:val="20"/>
        </w:trPr>
        <w:tc>
          <w:tcPr>
            <w:tcW w:w="7680" w:type="dxa"/>
            <w:vAlign w:val="bottom"/>
          </w:tcPr>
          <w:p>
            <w:pPr>
              <w:spacing w:after="0" w:line="20" w:lineRule="exact"/>
              <w:rPr>
                <w:sz w:val="1"/>
                <w:szCs w:val="1"/>
                <w:color w:val="auto"/>
              </w:rPr>
            </w:pPr>
          </w:p>
        </w:tc>
        <w:tc>
          <w:tcPr>
            <w:tcW w:w="2580" w:type="dxa"/>
            <w:vAlign w:val="bottom"/>
            <w:tcBorders>
              <w:bottom w:val="single" w:sz="8" w:color="005578"/>
            </w:tcBorders>
          </w:tcPr>
          <w:p>
            <w:pPr>
              <w:spacing w:after="0" w:line="20" w:lineRule="exact"/>
              <w:rPr>
                <w:sz w:val="1"/>
                <w:szCs w:val="1"/>
                <w:color w:val="auto"/>
              </w:rPr>
            </w:pPr>
          </w:p>
        </w:tc>
        <w:tc>
          <w:tcPr>
            <w:tcW w:w="960" w:type="dxa"/>
            <w:vAlign w:val="bottom"/>
            <w:tcBorders>
              <w:bottom w:val="single" w:sz="8" w:color="005578"/>
            </w:tcBorders>
          </w:tcPr>
          <w:p>
            <w:pPr>
              <w:spacing w:after="0" w:line="20" w:lineRule="exact"/>
              <w:rPr>
                <w:sz w:val="1"/>
                <w:szCs w:val="1"/>
                <w:color w:val="auto"/>
              </w:rPr>
            </w:pPr>
          </w:p>
        </w:tc>
      </w:tr>
      <w:tr>
        <w:trPr>
          <w:trHeight w:val="172"/>
        </w:trPr>
        <w:tc>
          <w:tcPr>
            <w:tcW w:w="768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2580" w:type="dxa"/>
            <w:vAlign w:val="bottom"/>
          </w:tcPr>
          <w:p>
            <w:pPr>
              <w:jc w:val="right"/>
              <w:ind w:right="758"/>
              <w:spacing w:after="0"/>
              <w:rPr>
                <w:sz w:val="20"/>
                <w:szCs w:val="20"/>
                <w:color w:val="auto"/>
              </w:rPr>
            </w:pPr>
            <w:r>
              <w:rPr>
                <w:rFonts w:ascii="Arial" w:cs="Arial" w:eastAsia="Arial" w:hAnsi="Arial"/>
                <w:sz w:val="12"/>
                <w:szCs w:val="12"/>
                <w:b w:val="1"/>
                <w:bCs w:val="1"/>
                <w:color w:val="3C3C3B"/>
              </w:rPr>
              <w:t>2024/06/30</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2"/>
        </w:trPr>
        <w:tc>
          <w:tcPr>
            <w:tcW w:w="768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Cash flows provided by (used in) operating activities</w:t>
            </w:r>
          </w:p>
        </w:tc>
        <w:tc>
          <w:tcPr>
            <w:tcW w:w="2580" w:type="dxa"/>
            <w:vAlign w:val="bottom"/>
            <w:tcBorders>
              <w:bottom w:val="single" w:sz="8" w:color="FDF5E7"/>
            </w:tcBorders>
            <w:shd w:val="clear" w:color="auto" w:fill="FDF5E7"/>
          </w:tcPr>
          <w:p>
            <w:pPr>
              <w:jc w:val="right"/>
              <w:ind w:right="758"/>
              <w:spacing w:after="0"/>
              <w:rPr>
                <w:sz w:val="20"/>
                <w:szCs w:val="20"/>
                <w:color w:val="auto"/>
              </w:rPr>
            </w:pPr>
            <w:r>
              <w:rPr>
                <w:rFonts w:ascii="Arial" w:cs="Arial" w:eastAsia="Arial" w:hAnsi="Arial"/>
                <w:sz w:val="12"/>
                <w:szCs w:val="12"/>
                <w:color w:val="auto"/>
              </w:rPr>
              <w:t>(11,187)</w:t>
            </w:r>
          </w:p>
        </w:tc>
        <w:tc>
          <w:tcPr>
            <w:tcW w:w="96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(30,102)</w:t>
            </w:r>
          </w:p>
        </w:tc>
      </w:tr>
      <w:tr>
        <w:trPr>
          <w:trHeight w:val="173"/>
        </w:trPr>
        <w:tc>
          <w:tcPr>
            <w:tcW w:w="7680" w:type="dxa"/>
            <w:vAlign w:val="bottom"/>
          </w:tcPr>
          <w:p>
            <w:pPr>
              <w:ind w:left="20"/>
              <w:spacing w:after="0"/>
              <w:rPr>
                <w:sz w:val="20"/>
                <w:szCs w:val="20"/>
                <w:color w:val="auto"/>
              </w:rPr>
            </w:pPr>
            <w:r>
              <w:rPr>
                <w:rFonts w:ascii="Arial" w:cs="Arial" w:eastAsia="Arial" w:hAnsi="Arial"/>
                <w:sz w:val="12"/>
                <w:szCs w:val="12"/>
                <w:color w:val="3C3C3B"/>
              </w:rPr>
              <w:t>Cash flows provided by (used in) investment activities</w:t>
            </w:r>
          </w:p>
        </w:tc>
        <w:tc>
          <w:tcPr>
            <w:tcW w:w="2580" w:type="dxa"/>
            <w:vAlign w:val="bottom"/>
          </w:tcPr>
          <w:p>
            <w:pPr>
              <w:jc w:val="right"/>
              <w:ind w:right="758"/>
              <w:spacing w:after="0"/>
              <w:rPr>
                <w:sz w:val="20"/>
                <w:szCs w:val="20"/>
                <w:color w:val="auto"/>
              </w:rPr>
            </w:pPr>
            <w:r>
              <w:rPr>
                <w:rFonts w:ascii="Arial" w:cs="Arial" w:eastAsia="Arial" w:hAnsi="Arial"/>
                <w:sz w:val="12"/>
                <w:szCs w:val="12"/>
                <w:color w:val="auto"/>
              </w:rPr>
              <w:t>(687)</w:t>
            </w:r>
          </w:p>
        </w:tc>
        <w:tc>
          <w:tcPr>
            <w:tcW w:w="960" w:type="dxa"/>
            <w:vAlign w:val="bottom"/>
          </w:tcPr>
          <w:p>
            <w:pPr>
              <w:jc w:val="right"/>
              <w:spacing w:after="0"/>
              <w:rPr>
                <w:sz w:val="20"/>
                <w:szCs w:val="20"/>
                <w:color w:val="auto"/>
              </w:rPr>
            </w:pPr>
            <w:r>
              <w:rPr>
                <w:rFonts w:ascii="Arial" w:cs="Arial" w:eastAsia="Arial" w:hAnsi="Arial"/>
                <w:sz w:val="12"/>
                <w:szCs w:val="12"/>
                <w:color w:val="auto"/>
              </w:rPr>
              <w:t>(3,219)</w:t>
            </w:r>
          </w:p>
        </w:tc>
      </w:tr>
      <w:tr>
        <w:trPr>
          <w:trHeight w:val="26"/>
        </w:trPr>
        <w:tc>
          <w:tcPr>
            <w:tcW w:w="7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9"/>
        </w:trPr>
        <w:tc>
          <w:tcPr>
            <w:tcW w:w="768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Cash flows provided by (used in) financing activities</w:t>
            </w:r>
          </w:p>
        </w:tc>
        <w:tc>
          <w:tcPr>
            <w:tcW w:w="2580" w:type="dxa"/>
            <w:vAlign w:val="bottom"/>
            <w:tcBorders>
              <w:bottom w:val="single" w:sz="8" w:color="FDF5E7"/>
            </w:tcBorders>
            <w:shd w:val="clear" w:color="auto" w:fill="FDF5E7"/>
          </w:tcPr>
          <w:p>
            <w:pPr>
              <w:jc w:val="right"/>
              <w:ind w:right="758"/>
              <w:spacing w:after="0"/>
              <w:rPr>
                <w:sz w:val="20"/>
                <w:szCs w:val="20"/>
                <w:color w:val="auto"/>
              </w:rPr>
            </w:pPr>
            <w:r>
              <w:rPr>
                <w:rFonts w:ascii="Arial" w:cs="Arial" w:eastAsia="Arial" w:hAnsi="Arial"/>
                <w:sz w:val="12"/>
                <w:szCs w:val="12"/>
                <w:color w:val="auto"/>
              </w:rPr>
              <w:t>(4,225)</w:t>
            </w:r>
          </w:p>
        </w:tc>
        <w:tc>
          <w:tcPr>
            <w:tcW w:w="96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59,287</w:t>
            </w:r>
          </w:p>
        </w:tc>
      </w:tr>
      <w:tr>
        <w:trPr>
          <w:trHeight w:val="20"/>
        </w:trPr>
        <w:tc>
          <w:tcPr>
            <w:tcW w:w="768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E99D25"/>
        </w:rPr>
        <w:t>Cash flows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266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293" w:lineRule="exact"/>
        <w:rPr>
          <w:sz w:val="20"/>
          <w:szCs w:val="20"/>
          <w:color w:val="auto"/>
        </w:rPr>
      </w:pPr>
    </w:p>
    <w:p>
      <w:pPr>
        <w:jc w:val="both"/>
        <w:ind w:right="100" w:firstLine="318"/>
        <w:spacing w:after="0" w:line="293" w:lineRule="auto"/>
        <w:rPr>
          <w:sz w:val="20"/>
          <w:szCs w:val="20"/>
          <w:color w:val="auto"/>
        </w:rPr>
      </w:pPr>
      <w:r>
        <w:rPr>
          <w:rFonts w:ascii="Arial" w:cs="Arial" w:eastAsia="Arial" w:hAnsi="Arial"/>
          <w:sz w:val="15"/>
          <w:szCs w:val="15"/>
          <w:color w:val="3C3C3B"/>
        </w:rPr>
        <w:t>Cash flow used in operating activities amounted to an outflow of €30,102 thousand for the half-year ended June 30, 2025 compared with an outflow of €11,187 thousand for the half-year ended June 30, 2024.</w:t>
      </w:r>
    </w:p>
    <w:p>
      <w:pPr>
        <w:spacing w:after="0" w:line="109" w:lineRule="exact"/>
        <w:rPr>
          <w:sz w:val="20"/>
          <w:szCs w:val="20"/>
          <w:color w:val="auto"/>
        </w:rPr>
      </w:pPr>
    </w:p>
    <w:p>
      <w:pPr>
        <w:jc w:val="both"/>
        <w:ind w:right="100" w:firstLine="318"/>
        <w:spacing w:after="0" w:line="275" w:lineRule="auto"/>
        <w:rPr>
          <w:sz w:val="20"/>
          <w:szCs w:val="20"/>
          <w:color w:val="auto"/>
        </w:rPr>
      </w:pPr>
      <w:r>
        <w:rPr>
          <w:rFonts w:ascii="Arial" w:cs="Arial" w:eastAsia="Arial" w:hAnsi="Arial"/>
          <w:sz w:val="15"/>
          <w:szCs w:val="15"/>
          <w:color w:val="3C3C3B"/>
        </w:rPr>
        <w:t>In the first half of 2025, this amount mainly stems from our research and development efforts; UNVEIL-IT®, our Phase 2 clinical trial of VS-01 in ACLF (and related proof-of-concept study in said indication); GNS561, as part of its CCA program; NTZ, as part of its ACLF program; SRT-015, as part of its ACLF program; and CLM-22, as part of its ACLF program.</w:t>
      </w:r>
    </w:p>
    <w:p>
      <w:pPr>
        <w:spacing w:after="0" w:line="136" w:lineRule="exact"/>
        <w:rPr>
          <w:sz w:val="20"/>
          <w:szCs w:val="20"/>
          <w:color w:val="auto"/>
        </w:rPr>
      </w:pPr>
    </w:p>
    <w:p>
      <w:pPr>
        <w:jc w:val="both"/>
        <w:ind w:right="100" w:firstLine="318"/>
        <w:spacing w:after="0" w:line="266" w:lineRule="auto"/>
        <w:rPr>
          <w:sz w:val="20"/>
          <w:szCs w:val="20"/>
          <w:color w:val="auto"/>
        </w:rPr>
      </w:pPr>
      <w:r>
        <w:rPr>
          <w:rFonts w:ascii="Arial" w:cs="Arial" w:eastAsia="Arial" w:hAnsi="Arial"/>
          <w:sz w:val="15"/>
          <w:szCs w:val="15"/>
          <w:color w:val="3C3C3B"/>
        </w:rPr>
        <w:t>In the first half of 2024, this amount mainly stems from our research and development efforts; notably for ELATIVE®, our Phase 3 clinical trial of elafibranor in PBC (approved by the FDA in June 2024); UNVEIL-IT®, our Phase 2 clinical trial of VS-01 in ACLF; GNS561, as part of its Cholangiocarcinoma program; and NTZ, as part of its ACLF program.</w:t>
      </w:r>
    </w:p>
    <w:p>
      <w:pPr>
        <w:spacing w:after="0" w:line="142"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5"/>
          <w:szCs w:val="15"/>
          <w:color w:val="3C3C3B"/>
        </w:rPr>
        <w:t>These cash flows reflect GENFIT’s business, which requires significant research and development efforts, and generates expenses that change in line with progress on the Company’s research programs, net of its operating revenues.</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E99D25"/>
        </w:rPr>
        <w:t>Cash flows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266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293" w:lineRule="exact"/>
        <w:rPr>
          <w:sz w:val="20"/>
          <w:szCs w:val="20"/>
          <w:color w:val="auto"/>
        </w:rPr>
      </w:pPr>
    </w:p>
    <w:p>
      <w:pPr>
        <w:jc w:val="both"/>
        <w:ind w:right="100" w:firstLine="318"/>
        <w:spacing w:after="0" w:line="293" w:lineRule="auto"/>
        <w:rPr>
          <w:sz w:val="20"/>
          <w:szCs w:val="20"/>
          <w:color w:val="auto"/>
        </w:rPr>
      </w:pPr>
      <w:r>
        <w:rPr>
          <w:rFonts w:ascii="Arial" w:cs="Arial" w:eastAsia="Arial" w:hAnsi="Arial"/>
          <w:sz w:val="15"/>
          <w:szCs w:val="15"/>
          <w:color w:val="3C3C3B"/>
        </w:rPr>
        <w:t>Cash flow used in investing activities amounted to €(3,219) thousand in the first half of 2025, compared with €(687) thousand in cash flow provided in the first half of 2024.</w:t>
      </w:r>
    </w:p>
    <w:p>
      <w:pPr>
        <w:spacing w:after="0" w:line="122" w:lineRule="exact"/>
        <w:rPr>
          <w:sz w:val="20"/>
          <w:szCs w:val="20"/>
          <w:color w:val="auto"/>
        </w:rPr>
      </w:pPr>
    </w:p>
    <w:p>
      <w:pPr>
        <w:jc w:val="both"/>
        <w:ind w:right="100" w:firstLine="318"/>
        <w:spacing w:after="0" w:line="257" w:lineRule="auto"/>
        <w:rPr>
          <w:sz w:val="20"/>
          <w:szCs w:val="20"/>
          <w:color w:val="auto"/>
        </w:rPr>
      </w:pPr>
      <w:r>
        <w:rPr>
          <w:rFonts w:ascii="Arial" w:cs="Arial" w:eastAsia="Arial" w:hAnsi="Arial"/>
          <w:sz w:val="15"/>
          <w:szCs w:val="15"/>
          <w:color w:val="3C3C3B"/>
        </w:rPr>
        <w:t xml:space="preserve">In the first half of 2025, these cash flows include acquisitions and disposals of fixed assets and financial assets, including the €2 million acquisition of all patents and patent applications, know-how, and data held by Genoscience Pharma necessary for the development, manufacturing, and marketing of GNS561, regardless of its therapeutic indication, form, dosage, or formulation. For further information please refer to </w:t>
      </w:r>
      <w:r>
        <w:rPr>
          <w:rFonts w:ascii="Arial" w:cs="Arial" w:eastAsia="Arial" w:hAnsi="Arial"/>
          <w:sz w:val="15"/>
          <w:szCs w:val="15"/>
          <w:u w:val="single" w:color="auto"/>
          <w:color w:val="0000FF"/>
        </w:rPr>
        <w:t>Note 2.1 - "Major events in the period"</w:t>
      </w:r>
      <w:r>
        <w:rPr>
          <w:rFonts w:ascii="Arial" w:cs="Arial" w:eastAsia="Arial" w:hAnsi="Arial"/>
          <w:sz w:val="15"/>
          <w:szCs w:val="15"/>
          <w:color w:val="3C3C3B"/>
        </w:rPr>
        <w:t xml:space="preserve"> of </w:t>
      </w:r>
      <w:r>
        <w:rPr>
          <w:rFonts w:ascii="Arial" w:cs="Arial" w:eastAsia="Arial" w:hAnsi="Arial"/>
          <w:sz w:val="15"/>
          <w:szCs w:val="15"/>
          <w:u w:val="single" w:color="auto"/>
          <w:color w:val="0000FF"/>
        </w:rPr>
        <w:t>section 3.6 - Notes to the</w:t>
      </w:r>
      <w:r>
        <w:rPr>
          <w:rFonts w:ascii="Arial" w:cs="Arial" w:eastAsia="Arial" w:hAnsi="Arial"/>
          <w:sz w:val="15"/>
          <w:szCs w:val="15"/>
          <w:color w:val="3C3C3B"/>
        </w:rPr>
        <w:t xml:space="preserve"> </w:t>
      </w:r>
      <w:r>
        <w:rPr>
          <w:rFonts w:ascii="Arial" w:cs="Arial" w:eastAsia="Arial" w:hAnsi="Arial"/>
          <w:sz w:val="15"/>
          <w:szCs w:val="15"/>
          <w:u w:val="single" w:color="auto"/>
          <w:color w:val="0000FF"/>
        </w:rPr>
        <w:t>consolidated financial statements</w:t>
      </w:r>
      <w:r>
        <w:rPr>
          <w:rFonts w:ascii="Arial" w:cs="Arial" w:eastAsia="Arial" w:hAnsi="Arial"/>
          <w:sz w:val="15"/>
          <w:szCs w:val="15"/>
          <w:color w:val="3C3C3B"/>
        </w:rPr>
        <w:t>.</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E99D25"/>
        </w:rPr>
        <w:t>Cash flows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266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Cash flow used in financing activities amounted to €59,287 thousand in the first half of 2025, compared with €(4,225) thousand in the first half of 2024.</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In the first half of 2025, these cash flows mainly reflect the Royalty Financing agreement (receipt of €130 million) and the OCEANEs repurchase (payment of €61.7</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3C3C3B"/>
        </w:rPr>
        <w:t xml:space="preserve">million). For further information please refer to </w:t>
      </w:r>
      <w:r>
        <w:rPr>
          <w:rFonts w:ascii="Arial" w:cs="Arial" w:eastAsia="Arial" w:hAnsi="Arial"/>
          <w:sz w:val="15"/>
          <w:szCs w:val="15"/>
          <w:u w:val="single" w:color="auto"/>
          <w:color w:val="0000FF"/>
        </w:rPr>
        <w:t>Note 2.1 - "Major events in the period"</w:t>
      </w:r>
      <w:r>
        <w:rPr>
          <w:rFonts w:ascii="Arial" w:cs="Arial" w:eastAsia="Arial" w:hAnsi="Arial"/>
          <w:sz w:val="15"/>
          <w:szCs w:val="15"/>
          <w:color w:val="3C3C3B"/>
        </w:rPr>
        <w:t xml:space="preserve"> of </w:t>
      </w:r>
      <w:r>
        <w:rPr>
          <w:rFonts w:ascii="Arial" w:cs="Arial" w:eastAsia="Arial" w:hAnsi="Arial"/>
          <w:sz w:val="15"/>
          <w:szCs w:val="15"/>
          <w:u w:val="single" w:color="auto"/>
          <w:color w:val="0000FF"/>
        </w:rPr>
        <w:t>section 3.6 - Notes to the consolidated financial statements</w:t>
      </w:r>
      <w:r>
        <w:rPr>
          <w:rFonts w:ascii="Arial" w:cs="Arial" w:eastAsia="Arial" w:hAnsi="Arial"/>
          <w:sz w:val="15"/>
          <w:szCs w:val="15"/>
          <w:color w:val="3C3C3B"/>
        </w:rPr>
        <w: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E99D25"/>
        </w:rPr>
        <w:t>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266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386"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5"/>
          <w:szCs w:val="15"/>
          <w:color w:val="3C3C3B"/>
        </w:rPr>
        <w:t xml:space="preserve">GENFIT has expenses and owns bank accounts in multiple currencies, including the Euro (EUR), the US Dollar (USD) and the Swiss Franc (CHF). For further information please refer to </w:t>
      </w:r>
      <w:r>
        <w:rPr>
          <w:rFonts w:ascii="Arial" w:cs="Arial" w:eastAsia="Arial" w:hAnsi="Arial"/>
          <w:sz w:val="15"/>
          <w:szCs w:val="15"/>
          <w:u w:val="single" w:color="auto"/>
          <w:color w:val="0000FF"/>
        </w:rPr>
        <w:t>Note 6.1 - "Foreign exchange risk</w:t>
      </w:r>
      <w:r>
        <w:rPr>
          <w:rFonts w:ascii="Arial" w:cs="Arial" w:eastAsia="Arial" w:hAnsi="Arial"/>
          <w:sz w:val="15"/>
          <w:szCs w:val="15"/>
          <w:color w:val="3C3C3B"/>
        </w:rPr>
        <w:t xml:space="preserve">" of </w:t>
      </w:r>
      <w:r>
        <w:rPr>
          <w:rFonts w:ascii="Arial" w:cs="Arial" w:eastAsia="Arial" w:hAnsi="Arial"/>
          <w:sz w:val="15"/>
          <w:szCs w:val="15"/>
          <w:u w:val="single" w:color="auto"/>
          <w:color w:val="0000FF"/>
        </w:rPr>
        <w:t>section 3.6 - Notes to the consolidated financial statements</w:t>
      </w:r>
      <w:r>
        <w:rPr>
          <w:rFonts w:ascii="Arial" w:cs="Arial" w:eastAsia="Arial" w:hAnsi="Arial"/>
          <w:sz w:val="15"/>
          <w:szCs w:val="15"/>
          <w:color w:val="3C3C3B"/>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830" w:type="dxa"/>
        <w:tblCellMar>
          <w:top w:w="0" w:type="dxa"/>
          <w:left w:w="0" w:type="dxa"/>
          <w:bottom w:w="0" w:type="dxa"/>
          <w:right w:w="0" w:type="dxa"/>
        </w:tblCellMar>
      </w:tblPr>
      <w:tr>
        <w:trPr>
          <w:trHeight w:val="146"/>
        </w:trPr>
        <w:tc>
          <w:tcPr>
            <w:tcW w:w="7880" w:type="dxa"/>
            <w:vAlign w:val="bottom"/>
            <w:tcBorders>
              <w:left w:val="single" w:sz="8" w:color="57879D"/>
            </w:tcBorders>
            <w:vMerge w:val="restart"/>
          </w:tcPr>
          <w:p>
            <w:pPr>
              <w:ind w:left="40"/>
              <w:spacing w:after="0"/>
              <w:rPr>
                <w:sz w:val="20"/>
                <w:szCs w:val="20"/>
                <w:color w:val="auto"/>
              </w:rPr>
            </w:pPr>
            <w:r>
              <w:rPr>
                <w:rFonts w:ascii="Arial" w:cs="Arial" w:eastAsia="Arial" w:hAnsi="Arial"/>
                <w:sz w:val="15"/>
                <w:szCs w:val="15"/>
                <w:color w:val="3C3C3B"/>
              </w:rPr>
              <w:t>Half-Year Business and Financial Report at June 30, 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7880" w:type="dxa"/>
            <w:vAlign w:val="bottom"/>
            <w:tcBorders>
              <w:left w:val="single" w:sz="8" w:color="57879D"/>
            </w:tcBorders>
            <w:vMerge w:val="continue"/>
          </w:tcPr>
          <w:p>
            <w:pPr>
              <w:spacing w:after="0"/>
              <w:rPr>
                <w:sz w:val="22"/>
                <w:szCs w:val="22"/>
                <w:color w:val="auto"/>
              </w:rPr>
            </w:pPr>
          </w:p>
        </w:tc>
        <w:tc>
          <w:tcPr>
            <w:tcW w:w="640" w:type="dxa"/>
            <w:vAlign w:val="bottom"/>
            <w:shd w:val="clear" w:color="auto" w:fill="DBDBDB"/>
          </w:tcPr>
          <w:p>
            <w:pPr>
              <w:jc w:val="right"/>
              <w:ind w:right="385"/>
              <w:spacing w:after="0"/>
              <w:rPr>
                <w:sz w:val="20"/>
                <w:szCs w:val="20"/>
                <w:color w:val="auto"/>
              </w:rPr>
            </w:pPr>
            <w:r>
              <w:rPr>
                <w:rFonts w:ascii="Arial" w:cs="Arial" w:eastAsia="Arial" w:hAnsi="Arial"/>
                <w:sz w:val="15"/>
                <w:szCs w:val="15"/>
                <w:color w:val="3C3C3B"/>
                <w:w w:val="95"/>
              </w:rPr>
              <w:t>13</w:t>
            </w:r>
          </w:p>
        </w:tc>
        <w:tc>
          <w:tcPr>
            <w:tcW w:w="0" w:type="dxa"/>
            <w:vAlign w:val="bottom"/>
          </w:tcPr>
          <w:p>
            <w:pPr>
              <w:spacing w:after="0"/>
              <w:rPr>
                <w:sz w:val="1"/>
                <w:szCs w:val="1"/>
                <w:color w:val="auto"/>
              </w:rPr>
            </w:pPr>
          </w:p>
        </w:tc>
      </w:tr>
      <w:tr>
        <w:trPr>
          <w:trHeight w:val="71"/>
        </w:trPr>
        <w:tc>
          <w:tcPr>
            <w:tcW w:w="7880" w:type="dxa"/>
            <w:vAlign w:val="bottom"/>
            <w:tcBorders>
              <w:left w:val="single" w:sz="8" w:color="57879D"/>
            </w:tcBorders>
          </w:tcPr>
          <w:p>
            <w:pPr>
              <w:spacing w:after="0"/>
              <w:rPr>
                <w:sz w:val="6"/>
                <w:szCs w:val="6"/>
                <w:color w:val="auto"/>
              </w:rPr>
            </w:pPr>
          </w:p>
        </w:tc>
        <w:tc>
          <w:tcPr>
            <w:tcW w:w="6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7880" w:type="dxa"/>
            <w:vAlign w:val="bottom"/>
            <w:tcBorders>
              <w:left w:val="single" w:sz="8" w:color="57879D"/>
            </w:tcBorders>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-369570</wp:posOffset>
            </wp:positionV>
            <wp:extent cx="1094105" cy="277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94105" cy="277495"/>
                    </a:xfrm>
                    <a:prstGeom prst="rect">
                      <a:avLst/>
                    </a:prstGeom>
                    <a:noFill/>
                  </pic:spPr>
                </pic:pic>
              </a:graphicData>
            </a:graphic>
          </wp:anchor>
        </w:drawing>
      </w:r>
    </w:p>
    <w:p>
      <w:pPr>
        <w:sectPr>
          <w:pgSz w:w="11900" w:h="16838" w:orient="portrait"/>
          <w:cols w:equalWidth="0" w:num="1">
            <w:col w:w="11340"/>
          </w:cols>
          <w:pgMar w:left="320" w:top="1357" w:right="239" w:bottom="1440" w:gutter="0" w:footer="0" w:header="0"/>
        </w:sectPr>
      </w:pPr>
    </w:p>
    <w:bookmarkStart w:id="19" w:name="page20"/>
    <w:bookmarkEnd w:id="19"/>
    <w:p>
      <w:pPr>
        <w:ind w:left="20"/>
        <w:spacing w:after="0"/>
        <w:tabs>
          <w:tab w:leader="none" w:pos="1180" w:val="left"/>
        </w:tabs>
        <w:rPr>
          <w:sz w:val="20"/>
          <w:szCs w:val="20"/>
          <w:color w:val="auto"/>
        </w:rPr>
      </w:pPr>
      <w:r>
        <w:rPr>
          <w:rFonts w:ascii="Arial" w:cs="Arial" w:eastAsia="Arial" w:hAnsi="Arial"/>
          <w:sz w:val="28"/>
          <w:szCs w:val="28"/>
          <w:b w:val="1"/>
          <w:bCs w:val="1"/>
          <w:color w:val="57879D"/>
        </w:rPr>
        <w:t>2.4</w:t>
      </w:r>
      <w:r>
        <w:rPr>
          <w:sz w:val="20"/>
          <w:szCs w:val="20"/>
          <w:color w:val="auto"/>
        </w:rPr>
        <w:tab/>
      </w:r>
      <w:r>
        <w:rPr>
          <w:rFonts w:ascii="Arial" w:cs="Arial" w:eastAsia="Arial" w:hAnsi="Arial"/>
          <w:sz w:val="28"/>
          <w:szCs w:val="28"/>
          <w:b w:val="1"/>
          <w:bCs w:val="1"/>
          <w:color w:val="57879D"/>
        </w:rPr>
        <w:t>Main Transactions with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7134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2" w:lineRule="exact"/>
        <w:rPr>
          <w:sz w:val="20"/>
          <w:szCs w:val="20"/>
          <w:color w:val="auto"/>
        </w:rPr>
      </w:pPr>
    </w:p>
    <w:p>
      <w:pPr>
        <w:jc w:val="both"/>
        <w:ind w:right="100" w:firstLine="318"/>
        <w:spacing w:after="0" w:line="263" w:lineRule="auto"/>
        <w:rPr>
          <w:sz w:val="20"/>
          <w:szCs w:val="20"/>
          <w:color w:val="auto"/>
        </w:rPr>
      </w:pPr>
      <w:r>
        <w:rPr>
          <w:rFonts w:ascii="Arial" w:cs="Arial" w:eastAsia="Arial" w:hAnsi="Arial"/>
          <w:sz w:val="15"/>
          <w:szCs w:val="15"/>
          <w:color w:val="3C3C3B"/>
        </w:rPr>
        <w:t xml:space="preserve">Investors are invited to refer to the information provided in Item 7.B - Related Party Transaction and Note 28 to the Consolidated Annual Financial Statements for the year ended December 31, 2024 in the 2024 Annual Report on Form 20-F (the "2024 Form 20-F") for a summary of the Company's principal ongoing transactions with related parties. Transactions with related parties occurring during the first half of 2025 are described in </w:t>
      </w:r>
      <w:r>
        <w:rPr>
          <w:rFonts w:ascii="Arial" w:cs="Arial" w:eastAsia="Arial" w:hAnsi="Arial"/>
          <w:sz w:val="15"/>
          <w:szCs w:val="15"/>
          <w:u w:val="single" w:color="auto"/>
          <w:color w:val="0000FF"/>
        </w:rPr>
        <w:t>Note 23 - "Related parties"</w:t>
      </w:r>
      <w:r>
        <w:rPr>
          <w:rFonts w:ascii="Arial" w:cs="Arial" w:eastAsia="Arial" w:hAnsi="Arial"/>
          <w:sz w:val="15"/>
          <w:szCs w:val="15"/>
          <w:color w:val="3C3C3B"/>
        </w:rPr>
        <w:t xml:space="preserve"> of the half year condensed consolidated financial states for the period ended June 30, 2025 included in </w:t>
      </w:r>
      <w:r>
        <w:rPr>
          <w:rFonts w:ascii="Arial" w:cs="Arial" w:eastAsia="Arial" w:hAnsi="Arial"/>
          <w:sz w:val="15"/>
          <w:szCs w:val="15"/>
          <w:u w:val="single" w:color="auto"/>
          <w:color w:val="0000FF"/>
        </w:rPr>
        <w:t>section 3</w:t>
      </w:r>
      <w:r>
        <w:rPr>
          <w:rFonts w:ascii="Arial" w:cs="Arial" w:eastAsia="Arial" w:hAnsi="Arial"/>
          <w:sz w:val="15"/>
          <w:szCs w:val="15"/>
          <w:color w:val="3C3C3B"/>
        </w:rPr>
        <w:t xml:space="preserve"> of this report.</w:t>
      </w:r>
    </w:p>
    <w:p>
      <w:pPr>
        <w:spacing w:after="0" w:line="200" w:lineRule="exact"/>
        <w:rPr>
          <w:sz w:val="20"/>
          <w:szCs w:val="20"/>
          <w:color w:val="auto"/>
        </w:rPr>
      </w:pPr>
    </w:p>
    <w:p>
      <w:pPr>
        <w:spacing w:after="0" w:line="328" w:lineRule="exact"/>
        <w:rPr>
          <w:sz w:val="20"/>
          <w:szCs w:val="20"/>
          <w:color w:val="auto"/>
        </w:rPr>
      </w:pPr>
    </w:p>
    <w:p>
      <w:pPr>
        <w:ind w:left="100"/>
        <w:spacing w:after="0"/>
        <w:tabs>
          <w:tab w:leader="none" w:pos="1240" w:val="left"/>
        </w:tabs>
        <w:rPr>
          <w:sz w:val="20"/>
          <w:szCs w:val="20"/>
          <w:color w:val="auto"/>
        </w:rPr>
      </w:pPr>
      <w:r>
        <w:rPr>
          <w:rFonts w:ascii="Arial" w:cs="Arial" w:eastAsia="Arial" w:hAnsi="Arial"/>
          <w:sz w:val="28"/>
          <w:szCs w:val="28"/>
          <w:b w:val="1"/>
          <w:bCs w:val="1"/>
          <w:color w:val="57879D"/>
        </w:rPr>
        <w:t>2.5</w:t>
      </w:r>
      <w:r>
        <w:rPr>
          <w:sz w:val="20"/>
          <w:szCs w:val="20"/>
          <w:color w:val="auto"/>
        </w:rPr>
        <w:tab/>
      </w:r>
      <w:r>
        <w:rPr>
          <w:rFonts w:ascii="Arial" w:cs="Arial" w:eastAsia="Arial" w:hAnsi="Arial"/>
          <w:sz w:val="28"/>
          <w:szCs w:val="28"/>
          <w:b w:val="1"/>
          <w:bCs w:val="1"/>
          <w:color w:val="57879D"/>
        </w:rPr>
        <w:t>Main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71266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322" w:lineRule="exact"/>
        <w:rPr>
          <w:sz w:val="20"/>
          <w:szCs w:val="20"/>
          <w:color w:val="auto"/>
        </w:rPr>
      </w:pPr>
    </w:p>
    <w:p>
      <w:pPr>
        <w:jc w:val="both"/>
        <w:ind w:right="100" w:firstLine="318"/>
        <w:spacing w:after="0" w:line="257" w:lineRule="auto"/>
        <w:rPr>
          <w:sz w:val="20"/>
          <w:szCs w:val="20"/>
          <w:color w:val="auto"/>
        </w:rPr>
      </w:pPr>
      <w:r>
        <w:rPr>
          <w:rFonts w:ascii="Arial" w:cs="Arial" w:eastAsia="Arial" w:hAnsi="Arial"/>
          <w:sz w:val="15"/>
          <w:szCs w:val="15"/>
          <w:color w:val="3C3C3B"/>
        </w:rPr>
        <w:t>We encourage investors to take into consideration all of the information presented in our 2024 Form 20-F and in this Half-Year Business and Financial Report before deciding to invest in Company shares. This includes, in particular, the risk factors described in Item 3.D. “Risk Factors” of the 2024 Form 20-F (and the contents of this section), of which the realization may have (or has had in some cases) material adverse effect on the Group and its activity, financial situation, results, development or perspectives, and which are of importance in the investment decision-making process.</w:t>
      </w:r>
    </w:p>
    <w:p>
      <w:pPr>
        <w:spacing w:after="0" w:line="149" w:lineRule="exact"/>
        <w:rPr>
          <w:sz w:val="20"/>
          <w:szCs w:val="20"/>
          <w:color w:val="auto"/>
        </w:rPr>
      </w:pPr>
    </w:p>
    <w:p>
      <w:pPr>
        <w:jc w:val="both"/>
        <w:ind w:right="100" w:firstLine="318"/>
        <w:spacing w:after="0" w:line="266" w:lineRule="auto"/>
        <w:rPr>
          <w:sz w:val="20"/>
          <w:szCs w:val="20"/>
          <w:color w:val="auto"/>
        </w:rPr>
      </w:pPr>
      <w:r>
        <w:rPr>
          <w:rFonts w:ascii="Arial" w:cs="Arial" w:eastAsia="Arial" w:hAnsi="Arial"/>
          <w:sz w:val="15"/>
          <w:szCs w:val="15"/>
          <w:color w:val="3C3C3B"/>
        </w:rPr>
        <w:t>With the exception of the following risk factors, which are updated and replaced as below, our review of our risk factors has not prompted any modifications in the nature, quantity or categories of risk factors, nor in their ranking in terms of probability of occurrence or impact, in comparison with what was presented in Item 3.D “Risk Factors” of the 2024 Form-20-F. The risks faced by the Company and described in the 2024 Form 20-F remain essentially the same.</w:t>
      </w:r>
    </w:p>
    <w:p>
      <w:pPr>
        <w:spacing w:after="0" w:line="142" w:lineRule="exact"/>
        <w:rPr>
          <w:sz w:val="20"/>
          <w:szCs w:val="20"/>
          <w:color w:val="auto"/>
        </w:rPr>
      </w:pPr>
    </w:p>
    <w:p>
      <w:pPr>
        <w:jc w:val="both"/>
        <w:ind w:right="100" w:firstLine="318"/>
        <w:spacing w:after="0" w:line="267" w:lineRule="auto"/>
        <w:rPr>
          <w:sz w:val="20"/>
          <w:szCs w:val="20"/>
          <w:color w:val="auto"/>
        </w:rPr>
      </w:pPr>
      <w:r>
        <w:rPr>
          <w:rFonts w:ascii="Arial" w:cs="Arial" w:eastAsia="Arial" w:hAnsi="Arial"/>
          <w:sz w:val="15"/>
          <w:szCs w:val="15"/>
          <w:b w:val="1"/>
          <w:bCs w:val="1"/>
          <w:i w:val="1"/>
          <w:iCs w:val="1"/>
          <w:color w:val="3C3C3B"/>
        </w:rPr>
        <w:t>Drug development is subject to a number of risks and the Group is highly exposed to the occurrence of any one of these inherent risks. Our activities in this area are all the more risky as many of our drug candidates are being evaluated in ACLF, a new therapeutic area characterized by a life-threatening condition that may be fatal in the short term, are at an early development stage and, for some of them, we were not involved in the initial research and discovery work, and may be less familiar with their mechanisms of action.</w:t>
      </w:r>
    </w:p>
    <w:p>
      <w:pPr>
        <w:spacing w:after="0" w:line="133" w:lineRule="exact"/>
        <w:rPr>
          <w:sz w:val="20"/>
          <w:szCs w:val="20"/>
          <w:color w:val="auto"/>
        </w:rPr>
      </w:pPr>
    </w:p>
    <w:p>
      <w:pPr>
        <w:jc w:val="both"/>
        <w:ind w:right="100" w:firstLine="318"/>
        <w:spacing w:after="0" w:line="293" w:lineRule="auto"/>
        <w:rPr>
          <w:sz w:val="20"/>
          <w:szCs w:val="20"/>
          <w:color w:val="auto"/>
        </w:rPr>
      </w:pPr>
      <w:r>
        <w:rPr>
          <w:rFonts w:ascii="Arial" w:cs="Arial" w:eastAsia="Arial" w:hAnsi="Arial"/>
          <w:sz w:val="15"/>
          <w:szCs w:val="15"/>
          <w:color w:val="3C3C3B"/>
        </w:rPr>
        <w:t>Drug development is a long, costly and uncertain process, aimed at demonstrating the therapeutic benefit of a drug candidate that competes with existing products and standards of care or other drug candidates in development.</w:t>
      </w:r>
    </w:p>
    <w:p>
      <w:pPr>
        <w:spacing w:after="0" w:line="122" w:lineRule="exact"/>
        <w:rPr>
          <w:sz w:val="20"/>
          <w:szCs w:val="20"/>
          <w:color w:val="auto"/>
        </w:rPr>
      </w:pPr>
    </w:p>
    <w:p>
      <w:pPr>
        <w:jc w:val="both"/>
        <w:ind w:right="100" w:firstLine="318"/>
        <w:spacing w:after="0" w:line="257" w:lineRule="auto"/>
        <w:rPr>
          <w:sz w:val="20"/>
          <w:szCs w:val="20"/>
          <w:color w:val="auto"/>
        </w:rPr>
      </w:pPr>
      <w:r>
        <w:rPr>
          <w:rFonts w:ascii="Arial" w:cs="Arial" w:eastAsia="Arial" w:hAnsi="Arial"/>
          <w:sz w:val="15"/>
          <w:szCs w:val="15"/>
          <w:color w:val="3C3C3B"/>
        </w:rPr>
        <w:t>Since the successful clinical development of Iqirvo® (elafibranor) (Iqirvo® is the commercial name used by our partner Ipsen to market elafibranor in PBC) carried out under the licensing agreements we signed with Terns Pharmaceuticals in 2019 in Greater China, and Ipsen in 2021 in other major pharmaceutical markets, our product pipeline is now composed of drug candidates whose development is much less advanced and therefore inherently more risky. These drug candidates, even if they have demonstrated promising initial preclinical or clinical results, have yet to obtain their preclinical and/or clinical proof-of-concept in the indications for which they are intended, and their safety and tolerability profiles are not yet proven.</w:t>
      </w:r>
    </w:p>
    <w:p>
      <w:pPr>
        <w:spacing w:after="0" w:line="150"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5"/>
          <w:szCs w:val="15"/>
          <w:color w:val="3C3C3B"/>
        </w:rPr>
        <w:t>For example, in the second half of 2023, our drug candidates VS-01 in ACLF and GNS561 in CCA with KRAS mutation entered Phase 2 (stopped in September 2025) and Phase 1b/2 respectively, in order to provide clinical proof-of-concept and better understand the safety and tolerability profiles of these mechanisms of action.</w:t>
      </w:r>
    </w:p>
    <w:p>
      <w:pPr>
        <w:spacing w:after="0" w:line="136" w:lineRule="exact"/>
        <w:rPr>
          <w:sz w:val="20"/>
          <w:szCs w:val="20"/>
          <w:color w:val="auto"/>
        </w:rPr>
      </w:pPr>
    </w:p>
    <w:p>
      <w:pPr>
        <w:jc w:val="both"/>
        <w:ind w:right="100" w:firstLine="318"/>
        <w:spacing w:after="0" w:line="275" w:lineRule="auto"/>
        <w:rPr>
          <w:sz w:val="20"/>
          <w:szCs w:val="20"/>
          <w:color w:val="auto"/>
        </w:rPr>
      </w:pPr>
      <w:r>
        <w:rPr>
          <w:rFonts w:ascii="Arial" w:cs="Arial" w:eastAsia="Arial" w:hAnsi="Arial"/>
          <w:sz w:val="15"/>
          <w:szCs w:val="15"/>
          <w:color w:val="3C3C3B"/>
        </w:rPr>
        <w:t>Our other drug candidates are at an even earlier stage, since they have either obtained initial Phase 1 clinical trial results, which is the case for NTZ before we decided to reformulate this drug candidate now referred to as G1090N, or have never been administered in humans in the therapeutic areas in which we are developing them (G1090N, SRT-015 in intravenous formulation, and CLM-022 in ACLF, VS-01 in UCD/OAs and VS-02 in HE).</w:t>
      </w:r>
    </w:p>
    <w:p>
      <w:pPr>
        <w:spacing w:after="0" w:line="123" w:lineRule="exact"/>
        <w:rPr>
          <w:sz w:val="20"/>
          <w:szCs w:val="20"/>
          <w:color w:val="auto"/>
        </w:rPr>
      </w:pPr>
    </w:p>
    <w:p>
      <w:pPr>
        <w:jc w:val="both"/>
        <w:ind w:right="100" w:firstLine="318"/>
        <w:spacing w:after="0" w:line="275" w:lineRule="auto"/>
        <w:rPr>
          <w:sz w:val="20"/>
          <w:szCs w:val="20"/>
          <w:color w:val="auto"/>
        </w:rPr>
      </w:pPr>
      <w:r>
        <w:rPr>
          <w:rFonts w:ascii="Arial" w:cs="Arial" w:eastAsia="Arial" w:hAnsi="Arial"/>
          <w:sz w:val="15"/>
          <w:szCs w:val="15"/>
          <w:color w:val="3C3C3B"/>
        </w:rPr>
        <w:t>For some of them — either because we are developing them as part of a repositioning strategy or because we have in-licensing or acquired the relevant intellectual property — we have developed, are in the process of developing, or will have to develop new pharmaceutical formulations that may not demonstrate the desired therapeutic efficacy and/or safety.</w:t>
      </w:r>
    </w:p>
    <w:p>
      <w:pPr>
        <w:spacing w:after="0" w:line="136" w:lineRule="exact"/>
        <w:rPr>
          <w:sz w:val="20"/>
          <w:szCs w:val="20"/>
          <w:color w:val="auto"/>
        </w:rPr>
      </w:pPr>
    </w:p>
    <w:p>
      <w:pPr>
        <w:jc w:val="both"/>
        <w:ind w:right="100" w:firstLine="318"/>
        <w:spacing w:after="0" w:line="254" w:lineRule="auto"/>
        <w:rPr>
          <w:sz w:val="20"/>
          <w:szCs w:val="20"/>
          <w:color w:val="auto"/>
        </w:rPr>
      </w:pPr>
      <w:r>
        <w:rPr>
          <w:rFonts w:ascii="Arial" w:cs="Arial" w:eastAsia="Arial" w:hAnsi="Arial"/>
          <w:sz w:val="15"/>
          <w:szCs w:val="15"/>
          <w:color w:val="3C3C3B"/>
        </w:rPr>
        <w:t>Most of these drug candidates are being developed to prevent and/or treat ACLF (G1090N, SRT-015 and CLM-022), a condition for which we have little experience in recruiting patients for clinical trials, for which no treatment has yet been approved and in a disease area characterized by a life-threatening condition that may be fatal in the short term. ACLF shares these characteristics with CCA with KRAS mutation. As a result, we are more exposed to the risks associated with the preclinical and clinical development of our drug candidates than companies operating in better-understood therapeutic areas, with patients suffering from less life-threatening diseases and diseases for which there are already approved treatments and clearly-defined pathways to regulatory approval. We are also exposed to the risks and uncertainties of not being able to demonstrate that our drug candidates provide sufficient therapeutic benefit. Some of these product candidates are also intended to treat diseases for which we have limited experience with drug development, which creates further risks in their development.</w:t>
      </w:r>
    </w:p>
    <w:p>
      <w:pPr>
        <w:spacing w:after="0" w:line="153" w:lineRule="exact"/>
        <w:rPr>
          <w:sz w:val="20"/>
          <w:szCs w:val="20"/>
          <w:color w:val="auto"/>
        </w:rPr>
      </w:pPr>
    </w:p>
    <w:p>
      <w:pPr>
        <w:jc w:val="both"/>
        <w:ind w:right="100" w:firstLine="318"/>
        <w:spacing w:after="0" w:line="263" w:lineRule="auto"/>
        <w:rPr>
          <w:sz w:val="20"/>
          <w:szCs w:val="20"/>
          <w:color w:val="auto"/>
        </w:rPr>
      </w:pPr>
      <w:r>
        <w:rPr>
          <w:rFonts w:ascii="Arial" w:cs="Arial" w:eastAsia="Arial" w:hAnsi="Arial"/>
          <w:sz w:val="15"/>
          <w:szCs w:val="15"/>
          <w:color w:val="3C3C3B"/>
        </w:rPr>
        <w:t>Finally, a significant part of our development pipeline (G1090N, VS-01 and VS-02, SRT-015 and CLM-022) results either from the acquisition of licensing rights or intellectual property from other companies (Genoscience, Seal Rock Therapeutics and Celloram), or from our Group's acquisition of Versantis AG. Despite due diligence and evaluation procedures we have carried out on the quality of previous results obtained by these companies, the development of these programs is riskier than if we had developed them ourselves from the outset.</w:t>
      </w:r>
    </w:p>
    <w:p>
      <w:pPr>
        <w:spacing w:after="0" w:line="282" w:lineRule="exact"/>
        <w:rPr>
          <w:sz w:val="20"/>
          <w:szCs w:val="20"/>
          <w:color w:val="auto"/>
        </w:rPr>
      </w:pPr>
    </w:p>
    <w:tbl>
      <w:tblPr>
        <w:tblLayout w:type="fixed"/>
        <w:tblInd w:w="2830" w:type="dxa"/>
        <w:tblCellMar>
          <w:top w:w="0" w:type="dxa"/>
          <w:left w:w="0" w:type="dxa"/>
          <w:bottom w:w="0" w:type="dxa"/>
          <w:right w:w="0" w:type="dxa"/>
        </w:tblCellMar>
      </w:tblPr>
      <w:tr>
        <w:trPr>
          <w:trHeight w:val="146"/>
        </w:trPr>
        <w:tc>
          <w:tcPr>
            <w:tcW w:w="7880" w:type="dxa"/>
            <w:vAlign w:val="bottom"/>
            <w:tcBorders>
              <w:left w:val="single" w:sz="8" w:color="57879D"/>
            </w:tcBorders>
            <w:vMerge w:val="restart"/>
          </w:tcPr>
          <w:p>
            <w:pPr>
              <w:ind w:left="40"/>
              <w:spacing w:after="0"/>
              <w:rPr>
                <w:sz w:val="20"/>
                <w:szCs w:val="20"/>
                <w:color w:val="auto"/>
              </w:rPr>
            </w:pPr>
            <w:r>
              <w:rPr>
                <w:rFonts w:ascii="Arial" w:cs="Arial" w:eastAsia="Arial" w:hAnsi="Arial"/>
                <w:sz w:val="15"/>
                <w:szCs w:val="15"/>
                <w:color w:val="3C3C3B"/>
              </w:rPr>
              <w:t>Half-Year Business and Financial Report at June 30, 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7880" w:type="dxa"/>
            <w:vAlign w:val="bottom"/>
            <w:tcBorders>
              <w:left w:val="single" w:sz="8" w:color="57879D"/>
            </w:tcBorders>
            <w:vMerge w:val="continue"/>
          </w:tcPr>
          <w:p>
            <w:pPr>
              <w:spacing w:after="0"/>
              <w:rPr>
                <w:sz w:val="22"/>
                <w:szCs w:val="22"/>
                <w:color w:val="auto"/>
              </w:rPr>
            </w:pPr>
          </w:p>
        </w:tc>
        <w:tc>
          <w:tcPr>
            <w:tcW w:w="640" w:type="dxa"/>
            <w:vAlign w:val="bottom"/>
            <w:shd w:val="clear" w:color="auto" w:fill="DBDBDB"/>
          </w:tcPr>
          <w:p>
            <w:pPr>
              <w:jc w:val="right"/>
              <w:ind w:right="385"/>
              <w:spacing w:after="0"/>
              <w:rPr>
                <w:sz w:val="20"/>
                <w:szCs w:val="20"/>
                <w:color w:val="auto"/>
              </w:rPr>
            </w:pPr>
            <w:r>
              <w:rPr>
                <w:rFonts w:ascii="Arial" w:cs="Arial" w:eastAsia="Arial" w:hAnsi="Arial"/>
                <w:sz w:val="15"/>
                <w:szCs w:val="15"/>
                <w:color w:val="3C3C3B"/>
                <w:w w:val="95"/>
              </w:rPr>
              <w:t>14</w:t>
            </w:r>
          </w:p>
        </w:tc>
        <w:tc>
          <w:tcPr>
            <w:tcW w:w="0" w:type="dxa"/>
            <w:vAlign w:val="bottom"/>
          </w:tcPr>
          <w:p>
            <w:pPr>
              <w:spacing w:after="0"/>
              <w:rPr>
                <w:sz w:val="1"/>
                <w:szCs w:val="1"/>
                <w:color w:val="auto"/>
              </w:rPr>
            </w:pPr>
          </w:p>
        </w:tc>
      </w:tr>
      <w:tr>
        <w:trPr>
          <w:trHeight w:val="71"/>
        </w:trPr>
        <w:tc>
          <w:tcPr>
            <w:tcW w:w="7880" w:type="dxa"/>
            <w:vAlign w:val="bottom"/>
            <w:tcBorders>
              <w:left w:val="single" w:sz="8" w:color="57879D"/>
            </w:tcBorders>
          </w:tcPr>
          <w:p>
            <w:pPr>
              <w:spacing w:after="0"/>
              <w:rPr>
                <w:sz w:val="6"/>
                <w:szCs w:val="6"/>
                <w:color w:val="auto"/>
              </w:rPr>
            </w:pPr>
          </w:p>
        </w:tc>
        <w:tc>
          <w:tcPr>
            <w:tcW w:w="6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7880" w:type="dxa"/>
            <w:vAlign w:val="bottom"/>
            <w:tcBorders>
              <w:left w:val="single" w:sz="8" w:color="57879D"/>
            </w:tcBorders>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-369570</wp:posOffset>
            </wp:positionV>
            <wp:extent cx="1094105" cy="277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94105" cy="277495"/>
                    </a:xfrm>
                    <a:prstGeom prst="rect">
                      <a:avLst/>
                    </a:prstGeom>
                    <a:noFill/>
                  </pic:spPr>
                </pic:pic>
              </a:graphicData>
            </a:graphic>
          </wp:anchor>
        </w:drawing>
      </w:r>
    </w:p>
    <w:p>
      <w:pPr>
        <w:sectPr>
          <w:pgSz w:w="11900" w:h="16838" w:orient="portrait"/>
          <w:cols w:equalWidth="0" w:num="1">
            <w:col w:w="11340"/>
          </w:cols>
          <w:pgMar w:left="320" w:top="1273" w:right="239" w:bottom="1440" w:gutter="0" w:footer="0" w:header="0"/>
        </w:sectPr>
      </w:pPr>
    </w:p>
    <w:bookmarkStart w:id="20" w:name="page21"/>
    <w:bookmarkEnd w:id="20"/>
    <w:p>
      <w:pPr>
        <w:jc w:val="right"/>
        <w:ind w:right="800"/>
        <w:spacing w:after="0"/>
        <w:rPr>
          <w:sz w:val="20"/>
          <w:szCs w:val="20"/>
          <w:color w:val="auto"/>
        </w:rPr>
      </w:pPr>
      <w:r>
        <w:rPr>
          <w:rFonts w:ascii="Arial" w:cs="Arial" w:eastAsia="Arial" w:hAnsi="Arial"/>
          <w:sz w:val="35"/>
          <w:szCs w:val="35"/>
          <w:b w:val="1"/>
          <w:bCs w:val="1"/>
          <w:color w:val="57879D"/>
        </w:rPr>
        <w:t>HALF-YEAR CONDENSED CONSOLIDATED FINANCIAL</w:t>
      </w:r>
    </w:p>
    <w:p>
      <w:pPr>
        <w:ind w:left="1220" w:hanging="1216"/>
        <w:spacing w:after="0"/>
        <w:tabs>
          <w:tab w:leader="none" w:pos="1220" w:val="left"/>
        </w:tabs>
        <w:numPr>
          <w:ilvl w:val="0"/>
          <w:numId w:val="28"/>
        </w:numPr>
        <w:rPr>
          <w:rFonts w:ascii="Arial" w:cs="Arial" w:eastAsia="Arial" w:hAnsi="Arial"/>
          <w:sz w:val="35"/>
          <w:szCs w:val="35"/>
          <w:color w:val="57879D"/>
        </w:rPr>
      </w:pPr>
      <w:r>
        <w:rPr>
          <w:rFonts w:ascii="Arial" w:cs="Arial" w:eastAsia="Arial" w:hAnsi="Arial"/>
          <w:sz w:val="35"/>
          <w:szCs w:val="35"/>
          <w:b w:val="1"/>
          <w:bCs w:val="1"/>
          <w:color w:val="57879D"/>
        </w:rPr>
        <w:t>STATEMENTS AT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22860</wp:posOffset>
            </wp:positionV>
            <wp:extent cx="71266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1920" w:type="dxa"/>
        <w:tblCellMar>
          <w:top w:w="0" w:type="dxa"/>
          <w:left w:w="0" w:type="dxa"/>
          <w:bottom w:w="0" w:type="dxa"/>
          <w:right w:w="0" w:type="dxa"/>
        </w:tblCellMar>
      </w:tblPr>
      <w:tr>
        <w:trPr>
          <w:trHeight w:val="194"/>
        </w:trPr>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57879D"/>
              </w:rPr>
              <w:t>3.1</w:t>
            </w:r>
          </w:p>
        </w:tc>
        <w:tc>
          <w:tcPr>
            <w:tcW w:w="5100" w:type="dxa"/>
            <w:vAlign w:val="bottom"/>
          </w:tcPr>
          <w:p>
            <w:pPr>
              <w:ind w:left="200"/>
              <w:spacing w:after="0"/>
              <w:rPr>
                <w:sz w:val="20"/>
                <w:szCs w:val="20"/>
                <w:color w:val="auto"/>
              </w:rPr>
            </w:pPr>
            <w:r>
              <w:rPr>
                <w:rFonts w:ascii="Arial" w:cs="Arial" w:eastAsia="Arial" w:hAnsi="Arial"/>
                <w:sz w:val="14"/>
                <w:szCs w:val="14"/>
                <w:b w:val="1"/>
                <w:bCs w:val="1"/>
                <w:color w:val="57879D"/>
              </w:rPr>
              <w:t>Consolidated Statements of Financial Position</w:t>
            </w:r>
          </w:p>
        </w:tc>
        <w:tc>
          <w:tcPr>
            <w:tcW w:w="1320" w:type="dxa"/>
            <w:vAlign w:val="bottom"/>
          </w:tcPr>
          <w:p>
            <w:pPr>
              <w:ind w:left="1160"/>
              <w:spacing w:after="0"/>
              <w:rPr>
                <w:sz w:val="20"/>
                <w:szCs w:val="20"/>
                <w:color w:val="auto"/>
              </w:rPr>
            </w:pPr>
            <w:r>
              <w:rPr>
                <w:rFonts w:ascii="Arial" w:cs="Arial" w:eastAsia="Arial" w:hAnsi="Arial"/>
                <w:sz w:val="14"/>
                <w:szCs w:val="14"/>
                <w:b w:val="1"/>
                <w:bCs w:val="1"/>
                <w:color w:val="57879D"/>
                <w:w w:val="89"/>
              </w:rPr>
              <w:t>16</w:t>
            </w:r>
          </w:p>
        </w:tc>
      </w:tr>
      <w:tr>
        <w:trPr>
          <w:trHeight w:val="331"/>
        </w:trPr>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57879D"/>
              </w:rPr>
              <w:t>3.2</w:t>
            </w:r>
          </w:p>
        </w:tc>
        <w:tc>
          <w:tcPr>
            <w:tcW w:w="5100" w:type="dxa"/>
            <w:vAlign w:val="bottom"/>
          </w:tcPr>
          <w:p>
            <w:pPr>
              <w:ind w:left="200"/>
              <w:spacing w:after="0"/>
              <w:rPr>
                <w:sz w:val="20"/>
                <w:szCs w:val="20"/>
                <w:color w:val="auto"/>
              </w:rPr>
            </w:pPr>
            <w:r>
              <w:rPr>
                <w:rFonts w:ascii="Arial" w:cs="Arial" w:eastAsia="Arial" w:hAnsi="Arial"/>
                <w:sz w:val="14"/>
                <w:szCs w:val="14"/>
                <w:b w:val="1"/>
                <w:bCs w:val="1"/>
                <w:color w:val="57879D"/>
              </w:rPr>
              <w:t>Consolidated Statements of Operations</w:t>
            </w:r>
          </w:p>
        </w:tc>
        <w:tc>
          <w:tcPr>
            <w:tcW w:w="1320" w:type="dxa"/>
            <w:vAlign w:val="bottom"/>
          </w:tcPr>
          <w:p>
            <w:pPr>
              <w:ind w:left="1160"/>
              <w:spacing w:after="0"/>
              <w:rPr>
                <w:sz w:val="20"/>
                <w:szCs w:val="20"/>
                <w:color w:val="auto"/>
              </w:rPr>
            </w:pPr>
            <w:r>
              <w:rPr>
                <w:rFonts w:ascii="Arial" w:cs="Arial" w:eastAsia="Arial" w:hAnsi="Arial"/>
                <w:sz w:val="14"/>
                <w:szCs w:val="14"/>
                <w:b w:val="1"/>
                <w:bCs w:val="1"/>
                <w:color w:val="57879D"/>
                <w:w w:val="89"/>
              </w:rPr>
              <w:t>17</w:t>
            </w:r>
          </w:p>
        </w:tc>
      </w:tr>
      <w:tr>
        <w:trPr>
          <w:trHeight w:val="331"/>
        </w:trPr>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57879D"/>
              </w:rPr>
              <w:t>3.3</w:t>
            </w:r>
          </w:p>
        </w:tc>
        <w:tc>
          <w:tcPr>
            <w:tcW w:w="5100" w:type="dxa"/>
            <w:vAlign w:val="bottom"/>
          </w:tcPr>
          <w:p>
            <w:pPr>
              <w:ind w:left="200"/>
              <w:spacing w:after="0"/>
              <w:rPr>
                <w:sz w:val="20"/>
                <w:szCs w:val="20"/>
                <w:color w:val="auto"/>
              </w:rPr>
            </w:pPr>
            <w:r>
              <w:rPr>
                <w:rFonts w:ascii="Arial" w:cs="Arial" w:eastAsia="Arial" w:hAnsi="Arial"/>
                <w:sz w:val="14"/>
                <w:szCs w:val="14"/>
                <w:b w:val="1"/>
                <w:bCs w:val="1"/>
                <w:color w:val="57879D"/>
              </w:rPr>
              <w:t>Consolidated Statements of Other Comprehensive Loss</w:t>
            </w:r>
          </w:p>
        </w:tc>
        <w:tc>
          <w:tcPr>
            <w:tcW w:w="1320" w:type="dxa"/>
            <w:vAlign w:val="bottom"/>
          </w:tcPr>
          <w:p>
            <w:pPr>
              <w:ind w:left="1160"/>
              <w:spacing w:after="0"/>
              <w:rPr>
                <w:sz w:val="20"/>
                <w:szCs w:val="20"/>
                <w:color w:val="auto"/>
              </w:rPr>
            </w:pPr>
            <w:r>
              <w:rPr>
                <w:rFonts w:ascii="Arial" w:cs="Arial" w:eastAsia="Arial" w:hAnsi="Arial"/>
                <w:sz w:val="14"/>
                <w:szCs w:val="14"/>
                <w:b w:val="1"/>
                <w:bCs w:val="1"/>
                <w:color w:val="57879D"/>
                <w:w w:val="89"/>
              </w:rPr>
              <w:t>17</w:t>
            </w:r>
          </w:p>
        </w:tc>
      </w:tr>
      <w:tr>
        <w:trPr>
          <w:trHeight w:val="331"/>
        </w:trPr>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57879D"/>
              </w:rPr>
              <w:t>3.4</w:t>
            </w:r>
          </w:p>
        </w:tc>
        <w:tc>
          <w:tcPr>
            <w:tcW w:w="5100" w:type="dxa"/>
            <w:vAlign w:val="bottom"/>
          </w:tcPr>
          <w:p>
            <w:pPr>
              <w:ind w:left="200"/>
              <w:spacing w:after="0"/>
              <w:rPr>
                <w:sz w:val="20"/>
                <w:szCs w:val="20"/>
                <w:color w:val="auto"/>
              </w:rPr>
            </w:pPr>
            <w:r>
              <w:rPr>
                <w:rFonts w:ascii="Arial" w:cs="Arial" w:eastAsia="Arial" w:hAnsi="Arial"/>
                <w:sz w:val="14"/>
                <w:szCs w:val="14"/>
                <w:b w:val="1"/>
                <w:bCs w:val="1"/>
                <w:color w:val="57879D"/>
              </w:rPr>
              <w:t>Consolidated Statements of Cash Flows</w:t>
            </w:r>
          </w:p>
        </w:tc>
        <w:tc>
          <w:tcPr>
            <w:tcW w:w="1320" w:type="dxa"/>
            <w:vAlign w:val="bottom"/>
          </w:tcPr>
          <w:p>
            <w:pPr>
              <w:ind w:left="1160"/>
              <w:spacing w:after="0"/>
              <w:rPr>
                <w:sz w:val="20"/>
                <w:szCs w:val="20"/>
                <w:color w:val="auto"/>
              </w:rPr>
            </w:pPr>
            <w:r>
              <w:rPr>
                <w:rFonts w:ascii="Arial" w:cs="Arial" w:eastAsia="Arial" w:hAnsi="Arial"/>
                <w:sz w:val="14"/>
                <w:szCs w:val="14"/>
                <w:b w:val="1"/>
                <w:bCs w:val="1"/>
                <w:color w:val="57879D"/>
                <w:w w:val="89"/>
              </w:rPr>
              <w:t>18</w:t>
            </w:r>
          </w:p>
        </w:tc>
      </w:tr>
      <w:tr>
        <w:trPr>
          <w:trHeight w:val="331"/>
        </w:trPr>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57879D"/>
              </w:rPr>
              <w:t>3.5</w:t>
            </w:r>
          </w:p>
        </w:tc>
        <w:tc>
          <w:tcPr>
            <w:tcW w:w="5100" w:type="dxa"/>
            <w:vAlign w:val="bottom"/>
          </w:tcPr>
          <w:p>
            <w:pPr>
              <w:ind w:left="200"/>
              <w:spacing w:after="0"/>
              <w:rPr>
                <w:sz w:val="20"/>
                <w:szCs w:val="20"/>
                <w:color w:val="auto"/>
              </w:rPr>
            </w:pPr>
            <w:r>
              <w:rPr>
                <w:rFonts w:ascii="Arial" w:cs="Arial" w:eastAsia="Arial" w:hAnsi="Arial"/>
                <w:sz w:val="14"/>
                <w:szCs w:val="14"/>
                <w:b w:val="1"/>
                <w:bCs w:val="1"/>
                <w:color w:val="57879D"/>
              </w:rPr>
              <w:t>Consolidated Statements of Changes in Equity</w:t>
            </w:r>
          </w:p>
        </w:tc>
        <w:tc>
          <w:tcPr>
            <w:tcW w:w="1320" w:type="dxa"/>
            <w:vAlign w:val="bottom"/>
          </w:tcPr>
          <w:p>
            <w:pPr>
              <w:ind w:left="1160"/>
              <w:spacing w:after="0"/>
              <w:rPr>
                <w:sz w:val="20"/>
                <w:szCs w:val="20"/>
                <w:color w:val="auto"/>
              </w:rPr>
            </w:pPr>
            <w:r>
              <w:rPr>
                <w:rFonts w:ascii="Arial" w:cs="Arial" w:eastAsia="Arial" w:hAnsi="Arial"/>
                <w:sz w:val="14"/>
                <w:szCs w:val="14"/>
                <w:b w:val="1"/>
                <w:bCs w:val="1"/>
                <w:color w:val="57879D"/>
                <w:w w:val="89"/>
              </w:rPr>
              <w:t>19</w:t>
            </w:r>
          </w:p>
        </w:tc>
      </w:tr>
      <w:tr>
        <w:trPr>
          <w:trHeight w:val="331"/>
        </w:trPr>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57879D"/>
              </w:rPr>
              <w:t>3.6</w:t>
            </w:r>
          </w:p>
        </w:tc>
        <w:tc>
          <w:tcPr>
            <w:tcW w:w="5100" w:type="dxa"/>
            <w:vAlign w:val="bottom"/>
          </w:tcPr>
          <w:p>
            <w:pPr>
              <w:ind w:left="200"/>
              <w:spacing w:after="0"/>
              <w:rPr>
                <w:sz w:val="20"/>
                <w:szCs w:val="20"/>
                <w:color w:val="auto"/>
              </w:rPr>
            </w:pPr>
            <w:r>
              <w:rPr>
                <w:rFonts w:ascii="Arial" w:cs="Arial" w:eastAsia="Arial" w:hAnsi="Arial"/>
                <w:sz w:val="14"/>
                <w:szCs w:val="14"/>
                <w:b w:val="1"/>
                <w:bCs w:val="1"/>
                <w:color w:val="57879D"/>
              </w:rPr>
              <w:t>Notes to the Consolidated Financial Statements</w:t>
            </w:r>
          </w:p>
        </w:tc>
        <w:tc>
          <w:tcPr>
            <w:tcW w:w="1320" w:type="dxa"/>
            <w:vAlign w:val="bottom"/>
          </w:tcPr>
          <w:p>
            <w:pPr>
              <w:ind w:left="1160"/>
              <w:spacing w:after="0"/>
              <w:rPr>
                <w:sz w:val="20"/>
                <w:szCs w:val="20"/>
                <w:color w:val="auto"/>
              </w:rPr>
            </w:pPr>
            <w:r>
              <w:rPr>
                <w:rFonts w:ascii="Arial" w:cs="Arial" w:eastAsia="Arial" w:hAnsi="Arial"/>
                <w:sz w:val="14"/>
                <w:szCs w:val="14"/>
                <w:b w:val="1"/>
                <w:bCs w:val="1"/>
                <w:color w:val="57879D"/>
                <w:w w:val="89"/>
              </w:rPr>
              <w:t>20</w:t>
            </w:r>
          </w:p>
        </w:tc>
      </w:tr>
      <w:tr>
        <w:trPr>
          <w:trHeight w:val="29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rPr>
              <w:t>Note 1</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The Company</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20</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rPr>
              <w:t>Note 2</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Major Events in the Period and Events after the Period</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20</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rPr>
              <w:t>Note 3</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Basis of Presentation</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21</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rPr>
              <w:t>Note 4</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Summary of Material Accounting Information</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22</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rPr>
              <w:t>Note 5</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Segment Information</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24</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rPr>
              <w:t>Note 6</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Financial Risks Management</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24</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rPr>
              <w:t>Note 7</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Revenues and Other Income</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26</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rPr>
              <w:t>Note 8</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Operating expenses</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27</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rPr>
              <w:t>Note 9</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Financial Income and Expenses</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28</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w w:val="96"/>
              </w:rPr>
              <w:t>Note 10</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Income Tax</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29</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w w:val="96"/>
              </w:rPr>
              <w:t>Note 11</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Earnings (loss) Per Share</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29</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w w:val="96"/>
              </w:rPr>
              <w:t>Note 12</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Cash and Cash Equivalents</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29</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w w:val="96"/>
              </w:rPr>
              <w:t>Note 13</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Current Trade and Other Receivables</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30</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w w:val="96"/>
              </w:rPr>
              <w:t>Note 14</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Other Current Assets</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30</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w w:val="96"/>
              </w:rPr>
              <w:t>Note 15</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Intangible Assets</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30</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w w:val="96"/>
              </w:rPr>
              <w:t>Note 16</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Other Non-current Financial Assets</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32</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w w:val="96"/>
              </w:rPr>
              <w:t>Note 17</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Loans and Borrowings</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33</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w w:val="96"/>
              </w:rPr>
              <w:t>Note 18</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Current Trade and Other Payables</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38</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w w:val="96"/>
              </w:rPr>
              <w:t>Note 19</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Current Provisions</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39</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w w:val="96"/>
              </w:rPr>
              <w:t>Note 20</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Equity</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39</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w w:val="96"/>
              </w:rPr>
              <w:t>Note 21</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Fair Value of Financial Instruments</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39</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w w:val="96"/>
              </w:rPr>
              <w:t>Note 22</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Litigation</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40</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w w:val="96"/>
              </w:rPr>
              <w:t>Note 23</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Related Parties</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41</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w w:val="96"/>
              </w:rPr>
              <w:t>Note 24</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Commitments, Contingent Liabilities and Contingent Assets</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41</w:t>
            </w:r>
          </w:p>
        </w:tc>
      </w:tr>
      <w:tr>
        <w:trPr>
          <w:trHeight w:val="305"/>
        </w:trPr>
        <w:tc>
          <w:tcPr>
            <w:tcW w:w="640" w:type="dxa"/>
            <w:vAlign w:val="bottom"/>
          </w:tcPr>
          <w:p>
            <w:pPr>
              <w:jc w:val="right"/>
              <w:ind w:right="113"/>
              <w:spacing w:after="0"/>
              <w:rPr>
                <w:sz w:val="20"/>
                <w:szCs w:val="20"/>
                <w:color w:val="auto"/>
              </w:rPr>
            </w:pPr>
            <w:r>
              <w:rPr>
                <w:rFonts w:ascii="Arial" w:cs="Arial" w:eastAsia="Arial" w:hAnsi="Arial"/>
                <w:sz w:val="13"/>
                <w:szCs w:val="13"/>
                <w:i w:val="1"/>
                <w:iCs w:val="1"/>
                <w:color w:val="E99D25"/>
                <w:w w:val="96"/>
              </w:rPr>
              <w:t>Note 25</w:t>
            </w:r>
          </w:p>
        </w:tc>
        <w:tc>
          <w:tcPr>
            <w:tcW w:w="5100" w:type="dxa"/>
            <w:vAlign w:val="bottom"/>
          </w:tcPr>
          <w:p>
            <w:pPr>
              <w:ind w:left="200"/>
              <w:spacing w:after="0"/>
              <w:rPr>
                <w:sz w:val="20"/>
                <w:szCs w:val="20"/>
                <w:color w:val="auto"/>
              </w:rPr>
            </w:pPr>
            <w:r>
              <w:rPr>
                <w:rFonts w:ascii="Arial" w:cs="Arial" w:eastAsia="Arial" w:hAnsi="Arial"/>
                <w:sz w:val="13"/>
                <w:szCs w:val="13"/>
                <w:i w:val="1"/>
                <w:iCs w:val="1"/>
                <w:color w:val="E99D25"/>
              </w:rPr>
              <w:t>Supplemental Cash Flow Information</w:t>
            </w:r>
          </w:p>
        </w:tc>
        <w:tc>
          <w:tcPr>
            <w:tcW w:w="1320" w:type="dxa"/>
            <w:vAlign w:val="bottom"/>
          </w:tcPr>
          <w:p>
            <w:pPr>
              <w:ind w:left="1160"/>
              <w:spacing w:after="0"/>
              <w:rPr>
                <w:sz w:val="20"/>
                <w:szCs w:val="20"/>
                <w:color w:val="auto"/>
              </w:rPr>
            </w:pPr>
            <w:r>
              <w:rPr>
                <w:rFonts w:ascii="Arial" w:cs="Arial" w:eastAsia="Arial" w:hAnsi="Arial"/>
                <w:sz w:val="13"/>
                <w:szCs w:val="13"/>
                <w:i w:val="1"/>
                <w:iCs w:val="1"/>
                <w:color w:val="E99D25"/>
                <w:w w:val="96"/>
              </w:rPr>
              <w:t>43</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810" w:type="dxa"/>
        <w:tblCellMar>
          <w:top w:w="0" w:type="dxa"/>
          <w:left w:w="0" w:type="dxa"/>
          <w:bottom w:w="0" w:type="dxa"/>
          <w:right w:w="0" w:type="dxa"/>
        </w:tblCellMar>
      </w:tblPr>
      <w:tr>
        <w:trPr>
          <w:trHeight w:val="146"/>
        </w:trPr>
        <w:tc>
          <w:tcPr>
            <w:tcW w:w="7880" w:type="dxa"/>
            <w:vAlign w:val="bottom"/>
            <w:tcBorders>
              <w:left w:val="single" w:sz="8" w:color="57879D"/>
            </w:tcBorders>
            <w:vMerge w:val="restart"/>
          </w:tcPr>
          <w:p>
            <w:pPr>
              <w:ind w:left="40"/>
              <w:spacing w:after="0"/>
              <w:rPr>
                <w:sz w:val="20"/>
                <w:szCs w:val="20"/>
                <w:color w:val="auto"/>
              </w:rPr>
            </w:pPr>
            <w:r>
              <w:rPr>
                <w:rFonts w:ascii="Arial" w:cs="Arial" w:eastAsia="Arial" w:hAnsi="Arial"/>
                <w:sz w:val="15"/>
                <w:szCs w:val="15"/>
                <w:color w:val="3C3C3B"/>
              </w:rPr>
              <w:t>Half-Year Business and Financial Report at June 30, 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7880" w:type="dxa"/>
            <w:vAlign w:val="bottom"/>
            <w:tcBorders>
              <w:left w:val="single" w:sz="8" w:color="57879D"/>
            </w:tcBorders>
            <w:vMerge w:val="continue"/>
          </w:tcPr>
          <w:p>
            <w:pPr>
              <w:spacing w:after="0"/>
              <w:rPr>
                <w:sz w:val="24"/>
                <w:szCs w:val="24"/>
                <w:color w:val="auto"/>
              </w:rPr>
            </w:pPr>
          </w:p>
        </w:tc>
        <w:tc>
          <w:tcPr>
            <w:tcW w:w="640" w:type="dxa"/>
            <w:vAlign w:val="bottom"/>
            <w:tcBorders>
              <w:bottom w:val="single" w:sz="8" w:color="DBDBDB"/>
            </w:tcBorders>
            <w:shd w:val="clear" w:color="auto" w:fill="DBDBDB"/>
          </w:tcPr>
          <w:p>
            <w:pPr>
              <w:jc w:val="right"/>
              <w:ind w:right="385"/>
              <w:spacing w:after="0"/>
              <w:rPr>
                <w:sz w:val="20"/>
                <w:szCs w:val="20"/>
                <w:color w:val="auto"/>
              </w:rPr>
            </w:pPr>
            <w:r>
              <w:rPr>
                <w:rFonts w:ascii="Arial" w:cs="Arial" w:eastAsia="Arial" w:hAnsi="Arial"/>
                <w:sz w:val="15"/>
                <w:szCs w:val="15"/>
                <w:color w:val="3C3C3B"/>
                <w:w w:val="95"/>
              </w:rPr>
              <w:t>15</w:t>
            </w:r>
          </w:p>
        </w:tc>
        <w:tc>
          <w:tcPr>
            <w:tcW w:w="0" w:type="dxa"/>
            <w:vAlign w:val="bottom"/>
          </w:tcPr>
          <w:p>
            <w:pPr>
              <w:spacing w:after="0"/>
              <w:rPr>
                <w:sz w:val="1"/>
                <w:szCs w:val="1"/>
                <w:color w:val="auto"/>
              </w:rPr>
            </w:pPr>
          </w:p>
        </w:tc>
      </w:tr>
      <w:tr>
        <w:trPr>
          <w:trHeight w:val="146"/>
        </w:trPr>
        <w:tc>
          <w:tcPr>
            <w:tcW w:w="7880" w:type="dxa"/>
            <w:vAlign w:val="bottom"/>
            <w:tcBorders>
              <w:left w:val="single" w:sz="8" w:color="57879D"/>
            </w:tcBorders>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-369570</wp:posOffset>
            </wp:positionV>
            <wp:extent cx="1094105" cy="277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94105" cy="277495"/>
                    </a:xfrm>
                    <a:prstGeom prst="rect">
                      <a:avLst/>
                    </a:prstGeom>
                    <a:noFill/>
                  </pic:spPr>
                </pic:pic>
              </a:graphicData>
            </a:graphic>
          </wp:anchor>
        </w:drawing>
      </w:r>
    </w:p>
    <w:p>
      <w:pPr>
        <w:sectPr>
          <w:pgSz w:w="11900" w:h="16838" w:orient="portrait"/>
          <w:cols w:equalWidth="0" w:num="1">
            <w:col w:w="11320"/>
          </w:cols>
          <w:pgMar w:left="340" w:top="1246"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374"/>
        </w:trPr>
        <w:tc>
          <w:tcPr>
            <w:tcW w:w="1160" w:type="dxa"/>
            <w:vAlign w:val="bottom"/>
          </w:tcPr>
          <w:p>
            <w:pPr>
              <w:ind w:left="100"/>
              <w:spacing w:after="0"/>
              <w:rPr>
                <w:sz w:val="20"/>
                <w:szCs w:val="20"/>
                <w:color w:val="auto"/>
              </w:rPr>
            </w:pPr>
            <w:r>
              <w:rPr>
                <w:rFonts w:ascii="Arial" w:cs="Arial" w:eastAsia="Arial" w:hAnsi="Arial"/>
                <w:sz w:val="28"/>
                <w:szCs w:val="28"/>
                <w:color w:val="57879D"/>
              </w:rPr>
              <w:t>3.1</w:t>
            </w:r>
          </w:p>
        </w:tc>
        <w:tc>
          <w:tcPr>
            <w:tcW w:w="5800" w:type="dxa"/>
            <w:vAlign w:val="bottom"/>
          </w:tcPr>
          <w:p>
            <w:pPr>
              <w:ind w:left="20"/>
              <w:spacing w:after="0"/>
              <w:rPr>
                <w:sz w:val="20"/>
                <w:szCs w:val="20"/>
                <w:color w:val="auto"/>
              </w:rPr>
            </w:pPr>
            <w:r>
              <w:rPr>
                <w:rFonts w:ascii="Arial" w:cs="Arial" w:eastAsia="Arial" w:hAnsi="Arial"/>
                <w:sz w:val="28"/>
                <w:szCs w:val="28"/>
                <w:color w:val="57879D"/>
              </w:rPr>
              <w:t>Consolidated Statements of Financial Position</w:t>
            </w:r>
          </w:p>
        </w:tc>
        <w:tc>
          <w:tcPr>
            <w:tcW w:w="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
        </w:trPr>
        <w:tc>
          <w:tcPr>
            <w:tcW w:w="1160" w:type="dxa"/>
            <w:vAlign w:val="bottom"/>
            <w:tcBorders>
              <w:bottom w:val="single" w:sz="8" w:color="57879D"/>
            </w:tcBorders>
          </w:tcPr>
          <w:p>
            <w:pPr>
              <w:spacing w:after="0"/>
              <w:rPr>
                <w:sz w:val="2"/>
                <w:szCs w:val="2"/>
                <w:color w:val="auto"/>
              </w:rPr>
            </w:pPr>
          </w:p>
        </w:tc>
        <w:tc>
          <w:tcPr>
            <w:tcW w:w="5800" w:type="dxa"/>
            <w:vAlign w:val="bottom"/>
            <w:tcBorders>
              <w:bottom w:val="single" w:sz="8" w:color="57879D"/>
            </w:tcBorders>
          </w:tcPr>
          <w:p>
            <w:pPr>
              <w:spacing w:after="0"/>
              <w:rPr>
                <w:sz w:val="2"/>
                <w:szCs w:val="2"/>
                <w:color w:val="auto"/>
              </w:rPr>
            </w:pPr>
          </w:p>
        </w:tc>
        <w:tc>
          <w:tcPr>
            <w:tcW w:w="720" w:type="dxa"/>
            <w:vAlign w:val="bottom"/>
            <w:tcBorders>
              <w:bottom w:val="single" w:sz="8" w:color="57879D"/>
            </w:tcBorders>
          </w:tcPr>
          <w:p>
            <w:pPr>
              <w:spacing w:after="0"/>
              <w:rPr>
                <w:sz w:val="2"/>
                <w:szCs w:val="2"/>
                <w:color w:val="auto"/>
              </w:rPr>
            </w:pPr>
          </w:p>
        </w:tc>
        <w:tc>
          <w:tcPr>
            <w:tcW w:w="2420" w:type="dxa"/>
            <w:vAlign w:val="bottom"/>
            <w:tcBorders>
              <w:bottom w:val="single" w:sz="8" w:color="57879D"/>
            </w:tcBorders>
          </w:tcPr>
          <w:p>
            <w:pPr>
              <w:spacing w:after="0"/>
              <w:rPr>
                <w:sz w:val="2"/>
                <w:szCs w:val="2"/>
                <w:color w:val="auto"/>
              </w:rPr>
            </w:pPr>
          </w:p>
        </w:tc>
        <w:tc>
          <w:tcPr>
            <w:tcW w:w="1120" w:type="dxa"/>
            <w:vAlign w:val="bottom"/>
            <w:tcBorders>
              <w:bottom w:val="single" w:sz="8" w:color="57879D"/>
            </w:tcBorders>
          </w:tcPr>
          <w:p>
            <w:pPr>
              <w:spacing w:after="0"/>
              <w:rPr>
                <w:sz w:val="2"/>
                <w:szCs w:val="2"/>
                <w:color w:val="auto"/>
              </w:rPr>
            </w:pPr>
          </w:p>
        </w:tc>
      </w:tr>
      <w:tr>
        <w:trPr>
          <w:trHeight w:val="370"/>
        </w:trPr>
        <w:tc>
          <w:tcPr>
            <w:tcW w:w="1160" w:type="dxa"/>
            <w:vAlign w:val="bottom"/>
          </w:tcPr>
          <w:p>
            <w:pPr>
              <w:ind w:left="20"/>
              <w:spacing w:after="0"/>
              <w:rPr>
                <w:sz w:val="20"/>
                <w:szCs w:val="20"/>
                <w:color w:val="auto"/>
              </w:rPr>
            </w:pPr>
            <w:r>
              <w:rPr>
                <w:rFonts w:ascii="Arial" w:cs="Arial" w:eastAsia="Arial" w:hAnsi="Arial"/>
                <w:sz w:val="12"/>
                <w:szCs w:val="12"/>
                <w:b w:val="1"/>
                <w:bCs w:val="1"/>
                <w:color w:val="E99D25"/>
              </w:rPr>
              <w:t>ASSETS</w:t>
            </w:r>
          </w:p>
        </w:tc>
        <w:tc>
          <w:tcPr>
            <w:tcW w:w="580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3C3C3B"/>
              </w:rPr>
              <w:t>Notes</w:t>
            </w:r>
          </w:p>
        </w:tc>
        <w:tc>
          <w:tcPr>
            <w:tcW w:w="2420" w:type="dxa"/>
            <w:vAlign w:val="bottom"/>
          </w:tcPr>
          <w:p>
            <w:pPr>
              <w:jc w:val="right"/>
              <w:ind w:right="438"/>
              <w:spacing w:after="0"/>
              <w:rPr>
                <w:sz w:val="20"/>
                <w:szCs w:val="20"/>
                <w:color w:val="auto"/>
              </w:rPr>
            </w:pPr>
            <w:r>
              <w:rPr>
                <w:rFonts w:ascii="Arial" w:cs="Arial" w:eastAsia="Arial" w:hAnsi="Arial"/>
                <w:sz w:val="12"/>
                <w:szCs w:val="12"/>
                <w:b w:val="1"/>
                <w:bCs w:val="1"/>
                <w:color w:val="3C3C3B"/>
              </w:rPr>
              <w:t>As of</w:t>
            </w:r>
          </w:p>
        </w:tc>
        <w:tc>
          <w:tcPr>
            <w:tcW w:w="112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2"/>
        </w:trPr>
        <w:tc>
          <w:tcPr>
            <w:tcW w:w="116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5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20" w:type="dxa"/>
            <w:vAlign w:val="bottom"/>
          </w:tcPr>
          <w:p>
            <w:pPr>
              <w:jc w:val="right"/>
              <w:ind w:right="598"/>
              <w:spacing w:after="0"/>
              <w:rPr>
                <w:sz w:val="20"/>
                <w:szCs w:val="20"/>
                <w:color w:val="auto"/>
              </w:rPr>
            </w:pPr>
            <w:r>
              <w:rPr>
                <w:rFonts w:ascii="Arial" w:cs="Arial" w:eastAsia="Arial" w:hAnsi="Arial"/>
                <w:sz w:val="12"/>
                <w:szCs w:val="12"/>
                <w:b w:val="1"/>
                <w:bCs w:val="1"/>
                <w:color w:val="3C3C3B"/>
              </w:rPr>
              <w:t>2024/12/31</w:t>
            </w:r>
          </w:p>
        </w:tc>
        <w:tc>
          <w:tcPr>
            <w:tcW w:w="112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5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2"/>
        </w:trPr>
        <w:tc>
          <w:tcPr>
            <w:tcW w:w="1160" w:type="dxa"/>
            <w:vAlign w:val="bottom"/>
          </w:tcPr>
          <w:p>
            <w:pPr>
              <w:ind w:left="20"/>
              <w:spacing w:after="0"/>
              <w:rPr>
                <w:sz w:val="20"/>
                <w:szCs w:val="20"/>
                <w:color w:val="auto"/>
              </w:rPr>
            </w:pPr>
            <w:r>
              <w:rPr>
                <w:rFonts w:ascii="Arial" w:cs="Arial" w:eastAsia="Arial" w:hAnsi="Arial"/>
                <w:sz w:val="12"/>
                <w:szCs w:val="12"/>
                <w:b w:val="1"/>
                <w:bCs w:val="1"/>
                <w:color w:val="E99D25"/>
              </w:rPr>
              <w:t>Current assets</w:t>
            </w:r>
          </w:p>
        </w:tc>
        <w:tc>
          <w:tcPr>
            <w:tcW w:w="5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
        </w:trPr>
        <w:tc>
          <w:tcPr>
            <w:tcW w:w="6960" w:type="dxa"/>
            <w:vAlign w:val="bottom"/>
            <w:tcBorders>
              <w:bottom w:val="single" w:sz="8" w:color="E99D25"/>
            </w:tcBorders>
            <w:gridSpan w:val="2"/>
          </w:tcPr>
          <w:p>
            <w:pPr>
              <w:spacing w:after="0" w:line="20" w:lineRule="exact"/>
              <w:rPr>
                <w:sz w:val="1"/>
                <w:szCs w:val="1"/>
                <w:color w:val="auto"/>
              </w:rPr>
            </w:pPr>
          </w:p>
        </w:tc>
        <w:tc>
          <w:tcPr>
            <w:tcW w:w="720" w:type="dxa"/>
            <w:vAlign w:val="bottom"/>
            <w:tcBorders>
              <w:bottom w:val="single" w:sz="8" w:color="E99D25"/>
            </w:tcBorders>
          </w:tcPr>
          <w:p>
            <w:pPr>
              <w:spacing w:after="0" w:line="20" w:lineRule="exact"/>
              <w:rPr>
                <w:sz w:val="1"/>
                <w:szCs w:val="1"/>
                <w:color w:val="auto"/>
              </w:rPr>
            </w:pPr>
          </w:p>
        </w:tc>
        <w:tc>
          <w:tcPr>
            <w:tcW w:w="2420" w:type="dxa"/>
            <w:vAlign w:val="bottom"/>
            <w:tcBorders>
              <w:bottom w:val="single" w:sz="8" w:color="E99D25"/>
            </w:tcBorders>
          </w:tcPr>
          <w:p>
            <w:pPr>
              <w:spacing w:after="0" w:line="20" w:lineRule="exact"/>
              <w:rPr>
                <w:sz w:val="1"/>
                <w:szCs w:val="1"/>
                <w:color w:val="auto"/>
              </w:rPr>
            </w:pPr>
          </w:p>
        </w:tc>
        <w:tc>
          <w:tcPr>
            <w:tcW w:w="1120" w:type="dxa"/>
            <w:vAlign w:val="bottom"/>
            <w:tcBorders>
              <w:bottom w:val="single" w:sz="8" w:color="E99D25"/>
            </w:tcBorders>
          </w:tcPr>
          <w:p>
            <w:pPr>
              <w:spacing w:after="0" w:line="20" w:lineRule="exact"/>
              <w:rPr>
                <w:sz w:val="1"/>
                <w:szCs w:val="1"/>
                <w:color w:val="auto"/>
              </w:rPr>
            </w:pPr>
          </w:p>
        </w:tc>
      </w:tr>
      <w:tr>
        <w:trPr>
          <w:trHeight w:val="172"/>
        </w:trPr>
        <w:tc>
          <w:tcPr>
            <w:tcW w:w="696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2"/>
                <w:szCs w:val="12"/>
                <w:color w:val="3C3C3B"/>
              </w:rPr>
              <w:t>Cash and cash equivalents</w:t>
            </w:r>
          </w:p>
        </w:tc>
        <w:tc>
          <w:tcPr>
            <w:tcW w:w="720" w:type="dxa"/>
            <w:vAlign w:val="bottom"/>
            <w:tcBorders>
              <w:bottom w:val="single" w:sz="8" w:color="FDF5E7"/>
            </w:tcBorders>
            <w:shd w:val="clear" w:color="auto" w:fill="FDF5E7"/>
          </w:tcPr>
          <w:p>
            <w:pPr>
              <w:ind w:left="140"/>
              <w:spacing w:after="0"/>
              <w:rPr>
                <w:sz w:val="20"/>
                <w:szCs w:val="20"/>
                <w:color w:val="auto"/>
              </w:rPr>
            </w:pPr>
            <w:r>
              <w:rPr>
                <w:rFonts w:ascii="Arial" w:cs="Arial" w:eastAsia="Arial" w:hAnsi="Arial"/>
                <w:sz w:val="12"/>
                <w:szCs w:val="12"/>
                <w:color w:val="3C3C3B"/>
              </w:rPr>
              <w:t>12</w:t>
            </w:r>
          </w:p>
        </w:tc>
        <w:tc>
          <w:tcPr>
            <w:tcW w:w="2420" w:type="dxa"/>
            <w:vAlign w:val="bottom"/>
            <w:tcBorders>
              <w:bottom w:val="single" w:sz="8" w:color="FDF5E7"/>
            </w:tcBorders>
            <w:shd w:val="clear" w:color="auto" w:fill="FDF5E7"/>
          </w:tcPr>
          <w:p>
            <w:pPr>
              <w:jc w:val="right"/>
              <w:ind w:right="598"/>
              <w:spacing w:after="0"/>
              <w:rPr>
                <w:sz w:val="20"/>
                <w:szCs w:val="20"/>
                <w:color w:val="auto"/>
              </w:rPr>
            </w:pPr>
            <w:r>
              <w:rPr>
                <w:rFonts w:ascii="Arial" w:cs="Arial" w:eastAsia="Arial" w:hAnsi="Arial"/>
                <w:sz w:val="12"/>
                <w:szCs w:val="12"/>
                <w:color w:val="auto"/>
              </w:rPr>
              <w:t>81,788</w:t>
            </w:r>
          </w:p>
        </w:tc>
        <w:tc>
          <w:tcPr>
            <w:tcW w:w="11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107,511</w:t>
            </w:r>
          </w:p>
        </w:tc>
      </w:tr>
      <w:tr>
        <w:trPr>
          <w:trHeight w:val="173"/>
        </w:trPr>
        <w:tc>
          <w:tcPr>
            <w:tcW w:w="6960" w:type="dxa"/>
            <w:vAlign w:val="bottom"/>
            <w:gridSpan w:val="2"/>
          </w:tcPr>
          <w:p>
            <w:pPr>
              <w:ind w:left="20"/>
              <w:spacing w:after="0"/>
              <w:rPr>
                <w:sz w:val="20"/>
                <w:szCs w:val="20"/>
                <w:color w:val="auto"/>
              </w:rPr>
            </w:pPr>
            <w:r>
              <w:rPr>
                <w:rFonts w:ascii="Arial" w:cs="Arial" w:eastAsia="Arial" w:hAnsi="Arial"/>
                <w:sz w:val="12"/>
                <w:szCs w:val="12"/>
                <w:color w:val="3C3C3B"/>
              </w:rPr>
              <w:t>Current trade and others receivables</w:t>
            </w:r>
          </w:p>
        </w:tc>
        <w:tc>
          <w:tcPr>
            <w:tcW w:w="720" w:type="dxa"/>
            <w:vAlign w:val="bottom"/>
          </w:tcPr>
          <w:p>
            <w:pPr>
              <w:ind w:left="140"/>
              <w:spacing w:after="0"/>
              <w:rPr>
                <w:sz w:val="20"/>
                <w:szCs w:val="20"/>
                <w:color w:val="auto"/>
              </w:rPr>
            </w:pPr>
            <w:r>
              <w:rPr>
                <w:rFonts w:ascii="Arial" w:cs="Arial" w:eastAsia="Arial" w:hAnsi="Arial"/>
                <w:sz w:val="12"/>
                <w:szCs w:val="12"/>
                <w:color w:val="3C3C3B"/>
              </w:rPr>
              <w:t>13</w:t>
            </w:r>
          </w:p>
        </w:tc>
        <w:tc>
          <w:tcPr>
            <w:tcW w:w="2420" w:type="dxa"/>
            <w:vAlign w:val="bottom"/>
          </w:tcPr>
          <w:p>
            <w:pPr>
              <w:jc w:val="right"/>
              <w:ind w:right="598"/>
              <w:spacing w:after="0"/>
              <w:rPr>
                <w:sz w:val="20"/>
                <w:szCs w:val="20"/>
                <w:color w:val="auto"/>
              </w:rPr>
            </w:pPr>
            <w:r>
              <w:rPr>
                <w:rFonts w:ascii="Arial" w:cs="Arial" w:eastAsia="Arial" w:hAnsi="Arial"/>
                <w:sz w:val="12"/>
                <w:szCs w:val="12"/>
                <w:color w:val="auto"/>
              </w:rPr>
              <w:t>7,564</w:t>
            </w:r>
          </w:p>
        </w:tc>
        <w:tc>
          <w:tcPr>
            <w:tcW w:w="1120" w:type="dxa"/>
            <w:vAlign w:val="bottom"/>
          </w:tcPr>
          <w:p>
            <w:pPr>
              <w:jc w:val="right"/>
              <w:spacing w:after="0"/>
              <w:rPr>
                <w:sz w:val="20"/>
                <w:szCs w:val="20"/>
                <w:color w:val="auto"/>
              </w:rPr>
            </w:pPr>
            <w:r>
              <w:rPr>
                <w:rFonts w:ascii="Arial" w:cs="Arial" w:eastAsia="Arial" w:hAnsi="Arial"/>
                <w:sz w:val="12"/>
                <w:szCs w:val="12"/>
                <w:color w:val="auto"/>
              </w:rPr>
              <w:t>43,709</w:t>
            </w:r>
          </w:p>
        </w:tc>
      </w:tr>
      <w:tr>
        <w:trPr>
          <w:trHeight w:val="26"/>
        </w:trPr>
        <w:tc>
          <w:tcPr>
            <w:tcW w:w="11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9"/>
        </w:trPr>
        <w:tc>
          <w:tcPr>
            <w:tcW w:w="11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Other current assets</w:t>
            </w:r>
          </w:p>
        </w:tc>
        <w:tc>
          <w:tcPr>
            <w:tcW w:w="5800" w:type="dxa"/>
            <w:vAlign w:val="bottom"/>
            <w:tcBorders>
              <w:bottom w:val="single" w:sz="8" w:color="FDF5E7"/>
            </w:tcBorders>
            <w:shd w:val="clear" w:color="auto" w:fill="FDF5E7"/>
          </w:tcPr>
          <w:p>
            <w:pPr>
              <w:spacing w:after="0"/>
              <w:rPr>
                <w:sz w:val="15"/>
                <w:szCs w:val="15"/>
                <w:color w:val="auto"/>
              </w:rPr>
            </w:pPr>
          </w:p>
        </w:tc>
        <w:tc>
          <w:tcPr>
            <w:tcW w:w="720" w:type="dxa"/>
            <w:vAlign w:val="bottom"/>
            <w:tcBorders>
              <w:bottom w:val="single" w:sz="8" w:color="FDF5E7"/>
            </w:tcBorders>
            <w:shd w:val="clear" w:color="auto" w:fill="FDF5E7"/>
          </w:tcPr>
          <w:p>
            <w:pPr>
              <w:ind w:left="140"/>
              <w:spacing w:after="0"/>
              <w:rPr>
                <w:sz w:val="20"/>
                <w:szCs w:val="20"/>
                <w:color w:val="auto"/>
              </w:rPr>
            </w:pPr>
            <w:r>
              <w:rPr>
                <w:rFonts w:ascii="Arial" w:cs="Arial" w:eastAsia="Arial" w:hAnsi="Arial"/>
                <w:sz w:val="12"/>
                <w:szCs w:val="12"/>
                <w:color w:val="3C3C3B"/>
              </w:rPr>
              <w:t>14</w:t>
            </w:r>
          </w:p>
        </w:tc>
        <w:tc>
          <w:tcPr>
            <w:tcW w:w="2420" w:type="dxa"/>
            <w:vAlign w:val="bottom"/>
            <w:tcBorders>
              <w:bottom w:val="single" w:sz="8" w:color="FDF5E7"/>
            </w:tcBorders>
            <w:shd w:val="clear" w:color="auto" w:fill="FDF5E7"/>
          </w:tcPr>
          <w:p>
            <w:pPr>
              <w:jc w:val="right"/>
              <w:ind w:right="598"/>
              <w:spacing w:after="0"/>
              <w:rPr>
                <w:sz w:val="20"/>
                <w:szCs w:val="20"/>
                <w:color w:val="auto"/>
              </w:rPr>
            </w:pPr>
            <w:r>
              <w:rPr>
                <w:rFonts w:ascii="Arial" w:cs="Arial" w:eastAsia="Arial" w:hAnsi="Arial"/>
                <w:sz w:val="12"/>
                <w:szCs w:val="12"/>
                <w:color w:val="auto"/>
              </w:rPr>
              <w:t>3,409</w:t>
            </w:r>
          </w:p>
        </w:tc>
        <w:tc>
          <w:tcPr>
            <w:tcW w:w="11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4,204</w:t>
            </w:r>
          </w:p>
        </w:tc>
      </w:tr>
      <w:tr>
        <w:trPr>
          <w:trHeight w:val="173"/>
        </w:trPr>
        <w:tc>
          <w:tcPr>
            <w:tcW w:w="1160" w:type="dxa"/>
            <w:vAlign w:val="bottom"/>
          </w:tcPr>
          <w:p>
            <w:pPr>
              <w:ind w:left="20"/>
              <w:spacing w:after="0"/>
              <w:rPr>
                <w:sz w:val="20"/>
                <w:szCs w:val="20"/>
                <w:color w:val="auto"/>
              </w:rPr>
            </w:pPr>
            <w:r>
              <w:rPr>
                <w:rFonts w:ascii="Arial" w:cs="Arial" w:eastAsia="Arial" w:hAnsi="Arial"/>
                <w:sz w:val="12"/>
                <w:szCs w:val="12"/>
                <w:color w:val="3C3C3B"/>
              </w:rPr>
              <w:t>Inventories</w:t>
            </w:r>
          </w:p>
        </w:tc>
        <w:tc>
          <w:tcPr>
            <w:tcW w:w="5800" w:type="dxa"/>
            <w:vAlign w:val="bottom"/>
          </w:tcPr>
          <w:p>
            <w:pPr>
              <w:spacing w:after="0"/>
              <w:rPr>
                <w:sz w:val="15"/>
                <w:szCs w:val="15"/>
                <w:color w:val="auto"/>
              </w:rPr>
            </w:pPr>
          </w:p>
        </w:tc>
        <w:tc>
          <w:tcPr>
            <w:tcW w:w="720" w:type="dxa"/>
            <w:vAlign w:val="bottom"/>
          </w:tcPr>
          <w:p>
            <w:pPr>
              <w:ind w:left="140"/>
              <w:spacing w:after="0"/>
              <w:rPr>
                <w:sz w:val="20"/>
                <w:szCs w:val="20"/>
                <w:color w:val="auto"/>
              </w:rPr>
            </w:pPr>
            <w:r>
              <w:rPr>
                <w:rFonts w:ascii="Arial" w:cs="Arial" w:eastAsia="Arial" w:hAnsi="Arial"/>
                <w:sz w:val="12"/>
                <w:szCs w:val="12"/>
                <w:color w:val="3C3C3B"/>
              </w:rPr>
              <w:t>—</w:t>
            </w:r>
          </w:p>
        </w:tc>
        <w:tc>
          <w:tcPr>
            <w:tcW w:w="2420" w:type="dxa"/>
            <w:vAlign w:val="bottom"/>
          </w:tcPr>
          <w:p>
            <w:pPr>
              <w:jc w:val="right"/>
              <w:ind w:right="598"/>
              <w:spacing w:after="0"/>
              <w:rPr>
                <w:sz w:val="20"/>
                <w:szCs w:val="20"/>
                <w:color w:val="auto"/>
              </w:rPr>
            </w:pPr>
            <w:r>
              <w:rPr>
                <w:rFonts w:ascii="Arial" w:cs="Arial" w:eastAsia="Arial" w:hAnsi="Arial"/>
                <w:sz w:val="12"/>
                <w:szCs w:val="12"/>
                <w:color w:val="auto"/>
              </w:rPr>
              <w:t>4</w:t>
            </w:r>
          </w:p>
        </w:tc>
        <w:tc>
          <w:tcPr>
            <w:tcW w:w="112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26"/>
        </w:trPr>
        <w:tc>
          <w:tcPr>
            <w:tcW w:w="69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2"/>
        </w:trPr>
        <w:tc>
          <w:tcPr>
            <w:tcW w:w="696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3C3C3B"/>
              </w:rPr>
              <w:t>Total - Current assets</w:t>
            </w:r>
          </w:p>
        </w:tc>
        <w:tc>
          <w:tcPr>
            <w:tcW w:w="720" w:type="dxa"/>
            <w:vAlign w:val="bottom"/>
          </w:tcPr>
          <w:p>
            <w:pPr>
              <w:spacing w:after="0"/>
              <w:rPr>
                <w:sz w:val="14"/>
                <w:szCs w:val="14"/>
                <w:color w:val="auto"/>
              </w:rPr>
            </w:pPr>
          </w:p>
        </w:tc>
        <w:tc>
          <w:tcPr>
            <w:tcW w:w="2420" w:type="dxa"/>
            <w:vAlign w:val="bottom"/>
          </w:tcPr>
          <w:p>
            <w:pPr>
              <w:jc w:val="right"/>
              <w:ind w:right="598"/>
              <w:spacing w:after="0"/>
              <w:rPr>
                <w:sz w:val="20"/>
                <w:szCs w:val="20"/>
                <w:color w:val="auto"/>
              </w:rPr>
            </w:pPr>
            <w:r>
              <w:rPr>
                <w:rFonts w:ascii="Arial" w:cs="Arial" w:eastAsia="Arial" w:hAnsi="Arial"/>
                <w:sz w:val="12"/>
                <w:szCs w:val="12"/>
                <w:b w:val="1"/>
                <w:bCs w:val="1"/>
                <w:i w:val="1"/>
                <w:iCs w:val="1"/>
                <w:color w:val="auto"/>
              </w:rPr>
              <w:t>92,766</w:t>
            </w:r>
          </w:p>
        </w:tc>
        <w:tc>
          <w:tcPr>
            <w:tcW w:w="112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155,429</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5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2"/>
        </w:trPr>
        <w:tc>
          <w:tcPr>
            <w:tcW w:w="1160" w:type="dxa"/>
            <w:vAlign w:val="bottom"/>
          </w:tcPr>
          <w:p>
            <w:pPr>
              <w:ind w:left="20"/>
              <w:spacing w:after="0"/>
              <w:rPr>
                <w:sz w:val="20"/>
                <w:szCs w:val="20"/>
                <w:color w:val="auto"/>
              </w:rPr>
            </w:pPr>
            <w:r>
              <w:rPr>
                <w:rFonts w:ascii="Arial" w:cs="Arial" w:eastAsia="Arial" w:hAnsi="Arial"/>
                <w:sz w:val="12"/>
                <w:szCs w:val="12"/>
                <w:b w:val="1"/>
                <w:bCs w:val="1"/>
                <w:color w:val="E99D25"/>
              </w:rPr>
              <w:t>Non-current assets</w:t>
            </w:r>
          </w:p>
        </w:tc>
        <w:tc>
          <w:tcPr>
            <w:tcW w:w="5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
        </w:trPr>
        <w:tc>
          <w:tcPr>
            <w:tcW w:w="1160" w:type="dxa"/>
            <w:vAlign w:val="bottom"/>
            <w:tcBorders>
              <w:bottom w:val="single" w:sz="8" w:color="E99D25"/>
            </w:tcBorders>
          </w:tcPr>
          <w:p>
            <w:pPr>
              <w:spacing w:after="0" w:line="20" w:lineRule="exact"/>
              <w:rPr>
                <w:sz w:val="1"/>
                <w:szCs w:val="1"/>
                <w:color w:val="auto"/>
              </w:rPr>
            </w:pPr>
          </w:p>
        </w:tc>
        <w:tc>
          <w:tcPr>
            <w:tcW w:w="5800" w:type="dxa"/>
            <w:vAlign w:val="bottom"/>
            <w:tcBorders>
              <w:bottom w:val="single" w:sz="8" w:color="E99D25"/>
            </w:tcBorders>
          </w:tcPr>
          <w:p>
            <w:pPr>
              <w:spacing w:after="0" w:line="20" w:lineRule="exact"/>
              <w:rPr>
                <w:sz w:val="1"/>
                <w:szCs w:val="1"/>
                <w:color w:val="auto"/>
              </w:rPr>
            </w:pPr>
          </w:p>
        </w:tc>
        <w:tc>
          <w:tcPr>
            <w:tcW w:w="720" w:type="dxa"/>
            <w:vAlign w:val="bottom"/>
            <w:tcBorders>
              <w:bottom w:val="single" w:sz="8" w:color="E99D25"/>
            </w:tcBorders>
          </w:tcPr>
          <w:p>
            <w:pPr>
              <w:spacing w:after="0" w:line="20" w:lineRule="exact"/>
              <w:rPr>
                <w:sz w:val="1"/>
                <w:szCs w:val="1"/>
                <w:color w:val="auto"/>
              </w:rPr>
            </w:pPr>
          </w:p>
        </w:tc>
        <w:tc>
          <w:tcPr>
            <w:tcW w:w="2420" w:type="dxa"/>
            <w:vAlign w:val="bottom"/>
            <w:tcBorders>
              <w:bottom w:val="single" w:sz="8" w:color="E99D25"/>
            </w:tcBorders>
          </w:tcPr>
          <w:p>
            <w:pPr>
              <w:spacing w:after="0" w:line="20" w:lineRule="exact"/>
              <w:rPr>
                <w:sz w:val="1"/>
                <w:szCs w:val="1"/>
                <w:color w:val="auto"/>
              </w:rPr>
            </w:pPr>
          </w:p>
        </w:tc>
        <w:tc>
          <w:tcPr>
            <w:tcW w:w="1120" w:type="dxa"/>
            <w:vAlign w:val="bottom"/>
            <w:tcBorders>
              <w:bottom w:val="single" w:sz="8" w:color="E99D25"/>
            </w:tcBorders>
          </w:tcPr>
          <w:p>
            <w:pPr>
              <w:spacing w:after="0" w:line="20" w:lineRule="exact"/>
              <w:rPr>
                <w:sz w:val="1"/>
                <w:szCs w:val="1"/>
                <w:color w:val="auto"/>
              </w:rPr>
            </w:pPr>
          </w:p>
        </w:tc>
      </w:tr>
      <w:tr>
        <w:trPr>
          <w:trHeight w:val="172"/>
        </w:trPr>
        <w:tc>
          <w:tcPr>
            <w:tcW w:w="11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Intangible assets</w:t>
            </w:r>
          </w:p>
        </w:tc>
        <w:tc>
          <w:tcPr>
            <w:tcW w:w="5800" w:type="dxa"/>
            <w:vAlign w:val="bottom"/>
            <w:tcBorders>
              <w:bottom w:val="single" w:sz="8" w:color="FDF5E7"/>
            </w:tcBorders>
            <w:shd w:val="clear" w:color="auto" w:fill="FDF5E7"/>
          </w:tcPr>
          <w:p>
            <w:pPr>
              <w:spacing w:after="0"/>
              <w:rPr>
                <w:sz w:val="14"/>
                <w:szCs w:val="14"/>
                <w:color w:val="auto"/>
              </w:rPr>
            </w:pPr>
          </w:p>
        </w:tc>
        <w:tc>
          <w:tcPr>
            <w:tcW w:w="720" w:type="dxa"/>
            <w:vAlign w:val="bottom"/>
            <w:tcBorders>
              <w:bottom w:val="single" w:sz="8" w:color="FDF5E7"/>
            </w:tcBorders>
            <w:shd w:val="clear" w:color="auto" w:fill="FDF5E7"/>
          </w:tcPr>
          <w:p>
            <w:pPr>
              <w:ind w:left="140"/>
              <w:spacing w:after="0"/>
              <w:rPr>
                <w:sz w:val="20"/>
                <w:szCs w:val="20"/>
                <w:color w:val="auto"/>
              </w:rPr>
            </w:pPr>
            <w:r>
              <w:rPr>
                <w:rFonts w:ascii="Arial" w:cs="Arial" w:eastAsia="Arial" w:hAnsi="Arial"/>
                <w:sz w:val="12"/>
                <w:szCs w:val="12"/>
                <w:color w:val="3C3C3B"/>
              </w:rPr>
              <w:t>15</w:t>
            </w:r>
          </w:p>
        </w:tc>
        <w:tc>
          <w:tcPr>
            <w:tcW w:w="2420" w:type="dxa"/>
            <w:vAlign w:val="bottom"/>
            <w:tcBorders>
              <w:bottom w:val="single" w:sz="8" w:color="FDF5E7"/>
            </w:tcBorders>
            <w:shd w:val="clear" w:color="auto" w:fill="FDF5E7"/>
          </w:tcPr>
          <w:p>
            <w:pPr>
              <w:jc w:val="right"/>
              <w:ind w:right="598"/>
              <w:spacing w:after="0"/>
              <w:rPr>
                <w:sz w:val="20"/>
                <w:szCs w:val="20"/>
                <w:color w:val="auto"/>
              </w:rPr>
            </w:pPr>
            <w:r>
              <w:rPr>
                <w:rFonts w:ascii="Arial" w:cs="Arial" w:eastAsia="Arial" w:hAnsi="Arial"/>
                <w:sz w:val="12"/>
                <w:szCs w:val="12"/>
                <w:color w:val="auto"/>
              </w:rPr>
              <w:t>47,998</w:t>
            </w:r>
          </w:p>
        </w:tc>
        <w:tc>
          <w:tcPr>
            <w:tcW w:w="11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50,346</w:t>
            </w:r>
          </w:p>
        </w:tc>
      </w:tr>
      <w:tr>
        <w:trPr>
          <w:trHeight w:val="173"/>
        </w:trPr>
        <w:tc>
          <w:tcPr>
            <w:tcW w:w="6960" w:type="dxa"/>
            <w:vAlign w:val="bottom"/>
            <w:gridSpan w:val="2"/>
          </w:tcPr>
          <w:p>
            <w:pPr>
              <w:ind w:left="20"/>
              <w:spacing w:after="0"/>
              <w:rPr>
                <w:sz w:val="20"/>
                <w:szCs w:val="20"/>
                <w:color w:val="auto"/>
              </w:rPr>
            </w:pPr>
            <w:r>
              <w:rPr>
                <w:rFonts w:ascii="Arial" w:cs="Arial" w:eastAsia="Arial" w:hAnsi="Arial"/>
                <w:sz w:val="12"/>
                <w:szCs w:val="12"/>
                <w:color w:val="3C3C3B"/>
              </w:rPr>
              <w:t>Property, plant and equipment</w:t>
            </w:r>
          </w:p>
        </w:tc>
        <w:tc>
          <w:tcPr>
            <w:tcW w:w="720" w:type="dxa"/>
            <w:vAlign w:val="bottom"/>
          </w:tcPr>
          <w:p>
            <w:pPr>
              <w:ind w:left="140"/>
              <w:spacing w:after="0"/>
              <w:rPr>
                <w:sz w:val="20"/>
                <w:szCs w:val="20"/>
                <w:color w:val="auto"/>
              </w:rPr>
            </w:pPr>
            <w:r>
              <w:rPr>
                <w:rFonts w:ascii="Arial" w:cs="Arial" w:eastAsia="Arial" w:hAnsi="Arial"/>
                <w:sz w:val="12"/>
                <w:szCs w:val="12"/>
                <w:color w:val="3C3C3B"/>
              </w:rPr>
              <w:t>15</w:t>
            </w:r>
          </w:p>
        </w:tc>
        <w:tc>
          <w:tcPr>
            <w:tcW w:w="2420" w:type="dxa"/>
            <w:vAlign w:val="bottom"/>
          </w:tcPr>
          <w:p>
            <w:pPr>
              <w:jc w:val="right"/>
              <w:ind w:right="598"/>
              <w:spacing w:after="0"/>
              <w:rPr>
                <w:sz w:val="20"/>
                <w:szCs w:val="20"/>
                <w:color w:val="auto"/>
              </w:rPr>
            </w:pPr>
            <w:r>
              <w:rPr>
                <w:rFonts w:ascii="Arial" w:cs="Arial" w:eastAsia="Arial" w:hAnsi="Arial"/>
                <w:sz w:val="12"/>
                <w:szCs w:val="12"/>
                <w:color w:val="auto"/>
              </w:rPr>
              <w:t>7,595</w:t>
            </w:r>
          </w:p>
        </w:tc>
        <w:tc>
          <w:tcPr>
            <w:tcW w:w="1120" w:type="dxa"/>
            <w:vAlign w:val="bottom"/>
          </w:tcPr>
          <w:p>
            <w:pPr>
              <w:jc w:val="right"/>
              <w:spacing w:after="0"/>
              <w:rPr>
                <w:sz w:val="20"/>
                <w:szCs w:val="20"/>
                <w:color w:val="auto"/>
              </w:rPr>
            </w:pPr>
            <w:r>
              <w:rPr>
                <w:rFonts w:ascii="Arial" w:cs="Arial" w:eastAsia="Arial" w:hAnsi="Arial"/>
                <w:sz w:val="12"/>
                <w:szCs w:val="12"/>
                <w:color w:val="auto"/>
              </w:rPr>
              <w:t>7,905</w:t>
            </w:r>
          </w:p>
        </w:tc>
      </w:tr>
      <w:tr>
        <w:trPr>
          <w:trHeight w:val="26"/>
        </w:trPr>
        <w:tc>
          <w:tcPr>
            <w:tcW w:w="69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9"/>
        </w:trPr>
        <w:tc>
          <w:tcPr>
            <w:tcW w:w="696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2"/>
                <w:szCs w:val="12"/>
                <w:color w:val="3C3C3B"/>
              </w:rPr>
              <w:t>Other non-current financial assets</w:t>
            </w:r>
          </w:p>
        </w:tc>
        <w:tc>
          <w:tcPr>
            <w:tcW w:w="720" w:type="dxa"/>
            <w:vAlign w:val="bottom"/>
            <w:tcBorders>
              <w:bottom w:val="single" w:sz="8" w:color="FDF5E7"/>
            </w:tcBorders>
            <w:shd w:val="clear" w:color="auto" w:fill="FDF5E7"/>
          </w:tcPr>
          <w:p>
            <w:pPr>
              <w:ind w:left="140"/>
              <w:spacing w:after="0"/>
              <w:rPr>
                <w:sz w:val="20"/>
                <w:szCs w:val="20"/>
                <w:color w:val="auto"/>
              </w:rPr>
            </w:pPr>
            <w:r>
              <w:rPr>
                <w:rFonts w:ascii="Arial" w:cs="Arial" w:eastAsia="Arial" w:hAnsi="Arial"/>
                <w:sz w:val="12"/>
                <w:szCs w:val="12"/>
                <w:color w:val="3C3C3B"/>
              </w:rPr>
              <w:t>16</w:t>
            </w:r>
          </w:p>
        </w:tc>
        <w:tc>
          <w:tcPr>
            <w:tcW w:w="2420" w:type="dxa"/>
            <w:vAlign w:val="bottom"/>
            <w:tcBorders>
              <w:bottom w:val="single" w:sz="8" w:color="FDF5E7"/>
            </w:tcBorders>
            <w:shd w:val="clear" w:color="auto" w:fill="FDF5E7"/>
          </w:tcPr>
          <w:p>
            <w:pPr>
              <w:jc w:val="right"/>
              <w:ind w:right="598"/>
              <w:spacing w:after="0"/>
              <w:rPr>
                <w:sz w:val="20"/>
                <w:szCs w:val="20"/>
                <w:color w:val="auto"/>
              </w:rPr>
            </w:pPr>
            <w:r>
              <w:rPr>
                <w:rFonts w:ascii="Arial" w:cs="Arial" w:eastAsia="Arial" w:hAnsi="Arial"/>
                <w:sz w:val="12"/>
                <w:szCs w:val="12"/>
                <w:color w:val="auto"/>
              </w:rPr>
              <w:t>3,065</w:t>
            </w:r>
          </w:p>
        </w:tc>
        <w:tc>
          <w:tcPr>
            <w:tcW w:w="11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3,002</w:t>
            </w:r>
          </w:p>
        </w:tc>
      </w:tr>
      <w:tr>
        <w:trPr>
          <w:trHeight w:val="173"/>
        </w:trPr>
        <w:tc>
          <w:tcPr>
            <w:tcW w:w="1160" w:type="dxa"/>
            <w:vAlign w:val="bottom"/>
          </w:tcPr>
          <w:p>
            <w:pPr>
              <w:ind w:left="20"/>
              <w:spacing w:after="0"/>
              <w:rPr>
                <w:sz w:val="20"/>
                <w:szCs w:val="20"/>
                <w:color w:val="auto"/>
              </w:rPr>
            </w:pPr>
            <w:r>
              <w:rPr>
                <w:rFonts w:ascii="Arial" w:cs="Arial" w:eastAsia="Arial" w:hAnsi="Arial"/>
                <w:sz w:val="12"/>
                <w:szCs w:val="12"/>
                <w:color w:val="3C3C3B"/>
              </w:rPr>
              <w:t>Deferred tax assets</w:t>
            </w:r>
          </w:p>
        </w:tc>
        <w:tc>
          <w:tcPr>
            <w:tcW w:w="5800" w:type="dxa"/>
            <w:vAlign w:val="bottom"/>
          </w:tcPr>
          <w:p>
            <w:pPr>
              <w:spacing w:after="0"/>
              <w:rPr>
                <w:sz w:val="15"/>
                <w:szCs w:val="15"/>
                <w:color w:val="auto"/>
              </w:rPr>
            </w:pPr>
          </w:p>
        </w:tc>
        <w:tc>
          <w:tcPr>
            <w:tcW w:w="720" w:type="dxa"/>
            <w:vAlign w:val="bottom"/>
          </w:tcPr>
          <w:p>
            <w:pPr>
              <w:ind w:left="140"/>
              <w:spacing w:after="0"/>
              <w:rPr>
                <w:sz w:val="20"/>
                <w:szCs w:val="20"/>
                <w:color w:val="auto"/>
              </w:rPr>
            </w:pPr>
            <w:r>
              <w:rPr>
                <w:rFonts w:ascii="Arial" w:cs="Arial" w:eastAsia="Arial" w:hAnsi="Arial"/>
                <w:sz w:val="12"/>
                <w:szCs w:val="12"/>
                <w:color w:val="3C3C3B"/>
              </w:rPr>
              <w:t>10</w:t>
            </w:r>
          </w:p>
        </w:tc>
        <w:tc>
          <w:tcPr>
            <w:tcW w:w="2420" w:type="dxa"/>
            <w:vAlign w:val="bottom"/>
          </w:tcPr>
          <w:p>
            <w:pPr>
              <w:jc w:val="right"/>
              <w:ind w:right="598"/>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6"/>
        </w:trPr>
        <w:tc>
          <w:tcPr>
            <w:tcW w:w="69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2"/>
        </w:trPr>
        <w:tc>
          <w:tcPr>
            <w:tcW w:w="696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3C3C3B"/>
              </w:rPr>
              <w:t>Total - Non-current assets</w:t>
            </w:r>
          </w:p>
        </w:tc>
        <w:tc>
          <w:tcPr>
            <w:tcW w:w="720" w:type="dxa"/>
            <w:vAlign w:val="bottom"/>
          </w:tcPr>
          <w:p>
            <w:pPr>
              <w:spacing w:after="0"/>
              <w:rPr>
                <w:sz w:val="14"/>
                <w:szCs w:val="14"/>
                <w:color w:val="auto"/>
              </w:rPr>
            </w:pPr>
          </w:p>
        </w:tc>
        <w:tc>
          <w:tcPr>
            <w:tcW w:w="2420" w:type="dxa"/>
            <w:vAlign w:val="bottom"/>
          </w:tcPr>
          <w:p>
            <w:pPr>
              <w:jc w:val="right"/>
              <w:ind w:right="598"/>
              <w:spacing w:after="0"/>
              <w:rPr>
                <w:sz w:val="20"/>
                <w:szCs w:val="20"/>
                <w:color w:val="auto"/>
              </w:rPr>
            </w:pPr>
            <w:r>
              <w:rPr>
                <w:rFonts w:ascii="Arial" w:cs="Arial" w:eastAsia="Arial" w:hAnsi="Arial"/>
                <w:sz w:val="12"/>
                <w:szCs w:val="12"/>
                <w:b w:val="1"/>
                <w:bCs w:val="1"/>
                <w:i w:val="1"/>
                <w:iCs w:val="1"/>
                <w:color w:val="auto"/>
              </w:rPr>
              <w:t>58,659</w:t>
            </w:r>
          </w:p>
        </w:tc>
        <w:tc>
          <w:tcPr>
            <w:tcW w:w="112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61,254</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5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2"/>
        </w:trPr>
        <w:tc>
          <w:tcPr>
            <w:tcW w:w="1160" w:type="dxa"/>
            <w:vAlign w:val="bottom"/>
          </w:tcPr>
          <w:p>
            <w:pPr>
              <w:ind w:left="20"/>
              <w:spacing w:after="0"/>
              <w:rPr>
                <w:sz w:val="20"/>
                <w:szCs w:val="20"/>
                <w:color w:val="auto"/>
              </w:rPr>
            </w:pPr>
            <w:r>
              <w:rPr>
                <w:rFonts w:ascii="Arial" w:cs="Arial" w:eastAsia="Arial" w:hAnsi="Arial"/>
                <w:sz w:val="12"/>
                <w:szCs w:val="12"/>
                <w:b w:val="1"/>
                <w:bCs w:val="1"/>
                <w:color w:val="E99D25"/>
              </w:rPr>
              <w:t>Total - Assets</w:t>
            </w:r>
          </w:p>
        </w:tc>
        <w:tc>
          <w:tcPr>
            <w:tcW w:w="5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20" w:type="dxa"/>
            <w:vAlign w:val="bottom"/>
          </w:tcPr>
          <w:p>
            <w:pPr>
              <w:jc w:val="right"/>
              <w:ind w:right="598"/>
              <w:spacing w:after="0"/>
              <w:rPr>
                <w:sz w:val="20"/>
                <w:szCs w:val="20"/>
                <w:color w:val="auto"/>
              </w:rPr>
            </w:pPr>
            <w:r>
              <w:rPr>
                <w:rFonts w:ascii="Arial" w:cs="Arial" w:eastAsia="Arial" w:hAnsi="Arial"/>
                <w:sz w:val="12"/>
                <w:szCs w:val="12"/>
                <w:b w:val="1"/>
                <w:bCs w:val="1"/>
                <w:color w:val="E99D25"/>
              </w:rPr>
              <w:t>151,424</w:t>
            </w:r>
          </w:p>
        </w:tc>
        <w:tc>
          <w:tcPr>
            <w:tcW w:w="1120" w:type="dxa"/>
            <w:vAlign w:val="bottom"/>
          </w:tcPr>
          <w:p>
            <w:pPr>
              <w:jc w:val="right"/>
              <w:spacing w:after="0"/>
              <w:rPr>
                <w:sz w:val="20"/>
                <w:szCs w:val="20"/>
                <w:color w:val="auto"/>
              </w:rPr>
            </w:pPr>
            <w:r>
              <w:rPr>
                <w:rFonts w:ascii="Arial" w:cs="Arial" w:eastAsia="Arial" w:hAnsi="Arial"/>
                <w:sz w:val="12"/>
                <w:szCs w:val="12"/>
                <w:b w:val="1"/>
                <w:bCs w:val="1"/>
                <w:color w:val="E99D25"/>
              </w:rPr>
              <w:t>216,683</w:t>
            </w:r>
          </w:p>
        </w:tc>
      </w:tr>
      <w:tr>
        <w:trPr>
          <w:trHeight w:val="20"/>
        </w:trPr>
        <w:tc>
          <w:tcPr>
            <w:tcW w:w="696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02"/>
        </w:trPr>
        <w:tc>
          <w:tcPr>
            <w:tcW w:w="6960" w:type="dxa"/>
            <w:vAlign w:val="bottom"/>
            <w:gridSpan w:val="2"/>
          </w:tcPr>
          <w:p>
            <w:pPr>
              <w:ind w:left="20"/>
              <w:spacing w:after="0"/>
              <w:rPr>
                <w:sz w:val="20"/>
                <w:szCs w:val="20"/>
                <w:color w:val="auto"/>
              </w:rPr>
            </w:pPr>
            <w:r>
              <w:rPr>
                <w:rFonts w:ascii="Arial" w:cs="Arial" w:eastAsia="Arial" w:hAnsi="Arial"/>
                <w:sz w:val="12"/>
                <w:szCs w:val="12"/>
                <w:b w:val="1"/>
                <w:bCs w:val="1"/>
                <w:color w:val="E99D25"/>
              </w:rPr>
              <w:t>SHAREHOLDERS' EQUITY AND LIABILITIES</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3C3C3B"/>
              </w:rPr>
              <w:t>Notes</w:t>
            </w:r>
          </w:p>
        </w:tc>
        <w:tc>
          <w:tcPr>
            <w:tcW w:w="2420" w:type="dxa"/>
            <w:vAlign w:val="bottom"/>
          </w:tcPr>
          <w:p>
            <w:pPr>
              <w:jc w:val="right"/>
              <w:ind w:right="438"/>
              <w:spacing w:after="0"/>
              <w:rPr>
                <w:sz w:val="20"/>
                <w:szCs w:val="20"/>
                <w:color w:val="auto"/>
              </w:rPr>
            </w:pPr>
            <w:r>
              <w:rPr>
                <w:rFonts w:ascii="Arial" w:cs="Arial" w:eastAsia="Arial" w:hAnsi="Arial"/>
                <w:sz w:val="12"/>
                <w:szCs w:val="12"/>
                <w:b w:val="1"/>
                <w:bCs w:val="1"/>
                <w:color w:val="3C3C3B"/>
              </w:rPr>
              <w:t>As of</w:t>
            </w:r>
          </w:p>
        </w:tc>
        <w:tc>
          <w:tcPr>
            <w:tcW w:w="112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tcBorders>
              <w:bottom w:val="single" w:sz="8" w:color="242424"/>
            </w:tcBorders>
          </w:tcPr>
          <w:p>
            <w:pPr>
              <w:spacing w:after="0" w:line="20" w:lineRule="exact"/>
              <w:rPr>
                <w:sz w:val="1"/>
                <w:szCs w:val="1"/>
                <w:color w:val="auto"/>
              </w:rPr>
            </w:pPr>
          </w:p>
        </w:tc>
        <w:tc>
          <w:tcPr>
            <w:tcW w:w="1120" w:type="dxa"/>
            <w:vAlign w:val="bottom"/>
            <w:tcBorders>
              <w:bottom w:val="single" w:sz="8" w:color="242424"/>
            </w:tcBorders>
          </w:tcPr>
          <w:p>
            <w:pPr>
              <w:spacing w:after="0" w:line="20" w:lineRule="exact"/>
              <w:rPr>
                <w:sz w:val="1"/>
                <w:szCs w:val="1"/>
                <w:color w:val="auto"/>
              </w:rPr>
            </w:pPr>
          </w:p>
        </w:tc>
      </w:tr>
      <w:tr>
        <w:trPr>
          <w:trHeight w:val="172"/>
        </w:trPr>
        <w:tc>
          <w:tcPr>
            <w:tcW w:w="116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5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20" w:type="dxa"/>
            <w:vAlign w:val="bottom"/>
          </w:tcPr>
          <w:p>
            <w:pPr>
              <w:jc w:val="right"/>
              <w:ind w:right="598"/>
              <w:spacing w:after="0"/>
              <w:rPr>
                <w:sz w:val="20"/>
                <w:szCs w:val="20"/>
                <w:color w:val="auto"/>
              </w:rPr>
            </w:pPr>
            <w:r>
              <w:rPr>
                <w:rFonts w:ascii="Arial" w:cs="Arial" w:eastAsia="Arial" w:hAnsi="Arial"/>
                <w:sz w:val="12"/>
                <w:szCs w:val="12"/>
                <w:b w:val="1"/>
                <w:bCs w:val="1"/>
                <w:color w:val="3C3C3B"/>
              </w:rPr>
              <w:t>2024/12/31</w:t>
            </w:r>
          </w:p>
        </w:tc>
        <w:tc>
          <w:tcPr>
            <w:tcW w:w="112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5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2"/>
        </w:trPr>
        <w:tc>
          <w:tcPr>
            <w:tcW w:w="1160" w:type="dxa"/>
            <w:vAlign w:val="bottom"/>
          </w:tcPr>
          <w:p>
            <w:pPr>
              <w:ind w:left="20"/>
              <w:spacing w:after="0"/>
              <w:rPr>
                <w:sz w:val="20"/>
                <w:szCs w:val="20"/>
                <w:color w:val="auto"/>
              </w:rPr>
            </w:pPr>
            <w:r>
              <w:rPr>
                <w:rFonts w:ascii="Arial" w:cs="Arial" w:eastAsia="Arial" w:hAnsi="Arial"/>
                <w:sz w:val="12"/>
                <w:szCs w:val="12"/>
                <w:b w:val="1"/>
                <w:bCs w:val="1"/>
                <w:color w:val="E99D25"/>
              </w:rPr>
              <w:t>Current liabilities</w:t>
            </w:r>
          </w:p>
        </w:tc>
        <w:tc>
          <w:tcPr>
            <w:tcW w:w="5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
        </w:trPr>
        <w:tc>
          <w:tcPr>
            <w:tcW w:w="6960" w:type="dxa"/>
            <w:vAlign w:val="bottom"/>
            <w:tcBorders>
              <w:bottom w:val="single" w:sz="8" w:color="E99D25"/>
            </w:tcBorders>
            <w:gridSpan w:val="2"/>
          </w:tcPr>
          <w:p>
            <w:pPr>
              <w:spacing w:after="0" w:line="20" w:lineRule="exact"/>
              <w:rPr>
                <w:sz w:val="1"/>
                <w:szCs w:val="1"/>
                <w:color w:val="auto"/>
              </w:rPr>
            </w:pPr>
          </w:p>
        </w:tc>
        <w:tc>
          <w:tcPr>
            <w:tcW w:w="720" w:type="dxa"/>
            <w:vAlign w:val="bottom"/>
            <w:tcBorders>
              <w:bottom w:val="single" w:sz="8" w:color="E99D25"/>
            </w:tcBorders>
          </w:tcPr>
          <w:p>
            <w:pPr>
              <w:spacing w:after="0" w:line="20" w:lineRule="exact"/>
              <w:rPr>
                <w:sz w:val="1"/>
                <w:szCs w:val="1"/>
                <w:color w:val="auto"/>
              </w:rPr>
            </w:pPr>
          </w:p>
        </w:tc>
        <w:tc>
          <w:tcPr>
            <w:tcW w:w="2420" w:type="dxa"/>
            <w:vAlign w:val="bottom"/>
            <w:tcBorders>
              <w:bottom w:val="single" w:sz="8" w:color="E99D25"/>
            </w:tcBorders>
          </w:tcPr>
          <w:p>
            <w:pPr>
              <w:spacing w:after="0" w:line="20" w:lineRule="exact"/>
              <w:rPr>
                <w:sz w:val="1"/>
                <w:szCs w:val="1"/>
                <w:color w:val="auto"/>
              </w:rPr>
            </w:pPr>
          </w:p>
        </w:tc>
        <w:tc>
          <w:tcPr>
            <w:tcW w:w="1120" w:type="dxa"/>
            <w:vAlign w:val="bottom"/>
            <w:tcBorders>
              <w:bottom w:val="single" w:sz="8" w:color="E99D25"/>
            </w:tcBorders>
          </w:tcPr>
          <w:p>
            <w:pPr>
              <w:spacing w:after="0" w:line="20" w:lineRule="exact"/>
              <w:rPr>
                <w:sz w:val="1"/>
                <w:szCs w:val="1"/>
                <w:color w:val="auto"/>
              </w:rPr>
            </w:pPr>
          </w:p>
        </w:tc>
      </w:tr>
      <w:tr>
        <w:trPr>
          <w:trHeight w:val="172"/>
        </w:trPr>
        <w:tc>
          <w:tcPr>
            <w:tcW w:w="696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2"/>
                <w:szCs w:val="12"/>
                <w:color w:val="3C3C3B"/>
              </w:rPr>
              <w:t>Current convertible loans</w:t>
            </w:r>
          </w:p>
        </w:tc>
        <w:tc>
          <w:tcPr>
            <w:tcW w:w="720" w:type="dxa"/>
            <w:vAlign w:val="bottom"/>
            <w:tcBorders>
              <w:bottom w:val="single" w:sz="8" w:color="FDF5E7"/>
            </w:tcBorders>
            <w:shd w:val="clear" w:color="auto" w:fill="FDF5E7"/>
          </w:tcPr>
          <w:p>
            <w:pPr>
              <w:ind w:left="160"/>
              <w:spacing w:after="0"/>
              <w:rPr>
                <w:sz w:val="20"/>
                <w:szCs w:val="20"/>
                <w:color w:val="auto"/>
              </w:rPr>
            </w:pPr>
            <w:r>
              <w:rPr>
                <w:rFonts w:ascii="Arial" w:cs="Arial" w:eastAsia="Arial" w:hAnsi="Arial"/>
                <w:sz w:val="12"/>
                <w:szCs w:val="12"/>
                <w:color w:val="3C3C3B"/>
              </w:rPr>
              <w:t>17</w:t>
            </w:r>
          </w:p>
        </w:tc>
        <w:tc>
          <w:tcPr>
            <w:tcW w:w="2420" w:type="dxa"/>
            <w:vAlign w:val="bottom"/>
            <w:tcBorders>
              <w:bottom w:val="single" w:sz="8" w:color="FDF5E7"/>
            </w:tcBorders>
            <w:shd w:val="clear" w:color="auto" w:fill="FDF5E7"/>
          </w:tcPr>
          <w:p>
            <w:pPr>
              <w:jc w:val="right"/>
              <w:ind w:right="598"/>
              <w:spacing w:after="0"/>
              <w:rPr>
                <w:sz w:val="20"/>
                <w:szCs w:val="20"/>
                <w:color w:val="auto"/>
              </w:rPr>
            </w:pPr>
            <w:r>
              <w:rPr>
                <w:rFonts w:ascii="Arial" w:cs="Arial" w:eastAsia="Arial" w:hAnsi="Arial"/>
                <w:sz w:val="12"/>
                <w:szCs w:val="12"/>
                <w:color w:val="auto"/>
              </w:rPr>
              <w:t>54,572</w:t>
            </w:r>
          </w:p>
        </w:tc>
        <w:tc>
          <w:tcPr>
            <w:tcW w:w="11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582</w:t>
            </w:r>
          </w:p>
        </w:tc>
      </w:tr>
      <w:tr>
        <w:trPr>
          <w:trHeight w:val="173"/>
        </w:trPr>
        <w:tc>
          <w:tcPr>
            <w:tcW w:w="6960" w:type="dxa"/>
            <w:vAlign w:val="bottom"/>
            <w:gridSpan w:val="2"/>
          </w:tcPr>
          <w:p>
            <w:pPr>
              <w:ind w:left="20"/>
              <w:spacing w:after="0"/>
              <w:rPr>
                <w:sz w:val="20"/>
                <w:szCs w:val="20"/>
                <w:color w:val="auto"/>
              </w:rPr>
            </w:pPr>
            <w:r>
              <w:rPr>
                <w:rFonts w:ascii="Arial" w:cs="Arial" w:eastAsia="Arial" w:hAnsi="Arial"/>
                <w:sz w:val="12"/>
                <w:szCs w:val="12"/>
                <w:color w:val="3C3C3B"/>
              </w:rPr>
              <w:t>Other current loans and borrowings</w:t>
            </w:r>
          </w:p>
        </w:tc>
        <w:tc>
          <w:tcPr>
            <w:tcW w:w="720" w:type="dxa"/>
            <w:vAlign w:val="bottom"/>
          </w:tcPr>
          <w:p>
            <w:pPr>
              <w:ind w:left="160"/>
              <w:spacing w:after="0"/>
              <w:rPr>
                <w:sz w:val="20"/>
                <w:szCs w:val="20"/>
                <w:color w:val="auto"/>
              </w:rPr>
            </w:pPr>
            <w:r>
              <w:rPr>
                <w:rFonts w:ascii="Arial" w:cs="Arial" w:eastAsia="Arial" w:hAnsi="Arial"/>
                <w:sz w:val="12"/>
                <w:szCs w:val="12"/>
                <w:color w:val="3C3C3B"/>
              </w:rPr>
              <w:t>17</w:t>
            </w:r>
          </w:p>
        </w:tc>
        <w:tc>
          <w:tcPr>
            <w:tcW w:w="2420" w:type="dxa"/>
            <w:vAlign w:val="bottom"/>
          </w:tcPr>
          <w:p>
            <w:pPr>
              <w:jc w:val="right"/>
              <w:ind w:right="598"/>
              <w:spacing w:after="0"/>
              <w:rPr>
                <w:sz w:val="20"/>
                <w:szCs w:val="20"/>
                <w:color w:val="auto"/>
              </w:rPr>
            </w:pPr>
            <w:r>
              <w:rPr>
                <w:rFonts w:ascii="Arial" w:cs="Arial" w:eastAsia="Arial" w:hAnsi="Arial"/>
                <w:sz w:val="12"/>
                <w:szCs w:val="12"/>
                <w:color w:val="auto"/>
              </w:rPr>
              <w:t>2,009</w:t>
            </w:r>
          </w:p>
        </w:tc>
        <w:tc>
          <w:tcPr>
            <w:tcW w:w="1120" w:type="dxa"/>
            <w:vAlign w:val="bottom"/>
          </w:tcPr>
          <w:p>
            <w:pPr>
              <w:jc w:val="right"/>
              <w:spacing w:after="0"/>
              <w:rPr>
                <w:sz w:val="20"/>
                <w:szCs w:val="20"/>
                <w:color w:val="auto"/>
              </w:rPr>
            </w:pPr>
            <w:r>
              <w:rPr>
                <w:rFonts w:ascii="Arial" w:cs="Arial" w:eastAsia="Arial" w:hAnsi="Arial"/>
                <w:sz w:val="12"/>
                <w:szCs w:val="12"/>
                <w:color w:val="auto"/>
              </w:rPr>
              <w:t>2,044</w:t>
            </w:r>
          </w:p>
        </w:tc>
      </w:tr>
      <w:tr>
        <w:trPr>
          <w:trHeight w:val="26"/>
        </w:trPr>
        <w:tc>
          <w:tcPr>
            <w:tcW w:w="69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9"/>
        </w:trPr>
        <w:tc>
          <w:tcPr>
            <w:tcW w:w="696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2"/>
                <w:szCs w:val="12"/>
                <w:color w:val="3C3C3B"/>
              </w:rPr>
              <w:t>Current trade and other payables</w:t>
            </w:r>
          </w:p>
        </w:tc>
        <w:tc>
          <w:tcPr>
            <w:tcW w:w="720" w:type="dxa"/>
            <w:vAlign w:val="bottom"/>
            <w:tcBorders>
              <w:bottom w:val="single" w:sz="8" w:color="FDF5E7"/>
            </w:tcBorders>
            <w:shd w:val="clear" w:color="auto" w:fill="FDF5E7"/>
          </w:tcPr>
          <w:p>
            <w:pPr>
              <w:ind w:left="160"/>
              <w:spacing w:after="0"/>
              <w:rPr>
                <w:sz w:val="20"/>
                <w:szCs w:val="20"/>
                <w:color w:val="auto"/>
              </w:rPr>
            </w:pPr>
            <w:r>
              <w:rPr>
                <w:rFonts w:ascii="Arial" w:cs="Arial" w:eastAsia="Arial" w:hAnsi="Arial"/>
                <w:sz w:val="12"/>
                <w:szCs w:val="12"/>
                <w:color w:val="3C3C3B"/>
              </w:rPr>
              <w:t>18</w:t>
            </w:r>
          </w:p>
        </w:tc>
        <w:tc>
          <w:tcPr>
            <w:tcW w:w="2420" w:type="dxa"/>
            <w:vAlign w:val="bottom"/>
            <w:tcBorders>
              <w:bottom w:val="single" w:sz="8" w:color="FDF5E7"/>
            </w:tcBorders>
            <w:shd w:val="clear" w:color="auto" w:fill="FDF5E7"/>
          </w:tcPr>
          <w:p>
            <w:pPr>
              <w:jc w:val="right"/>
              <w:ind w:right="598"/>
              <w:spacing w:after="0"/>
              <w:rPr>
                <w:sz w:val="20"/>
                <w:szCs w:val="20"/>
                <w:color w:val="auto"/>
              </w:rPr>
            </w:pPr>
            <w:r>
              <w:rPr>
                <w:rFonts w:ascii="Arial" w:cs="Arial" w:eastAsia="Arial" w:hAnsi="Arial"/>
                <w:sz w:val="12"/>
                <w:szCs w:val="12"/>
                <w:color w:val="auto"/>
              </w:rPr>
              <w:t>18,387</w:t>
            </w:r>
          </w:p>
        </w:tc>
        <w:tc>
          <w:tcPr>
            <w:tcW w:w="11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23,757</w:t>
            </w:r>
          </w:p>
        </w:tc>
      </w:tr>
      <w:tr>
        <w:trPr>
          <w:trHeight w:val="173"/>
        </w:trPr>
        <w:tc>
          <w:tcPr>
            <w:tcW w:w="1160" w:type="dxa"/>
            <w:vAlign w:val="bottom"/>
          </w:tcPr>
          <w:p>
            <w:pPr>
              <w:ind w:left="20"/>
              <w:spacing w:after="0"/>
              <w:rPr>
                <w:sz w:val="20"/>
                <w:szCs w:val="20"/>
                <w:color w:val="auto"/>
              </w:rPr>
            </w:pPr>
            <w:r>
              <w:rPr>
                <w:rFonts w:ascii="Arial" w:cs="Arial" w:eastAsia="Arial" w:hAnsi="Arial"/>
                <w:sz w:val="12"/>
                <w:szCs w:val="12"/>
                <w:color w:val="3C3C3B"/>
              </w:rPr>
              <w:t>Current provisions</w:t>
            </w:r>
          </w:p>
        </w:tc>
        <w:tc>
          <w:tcPr>
            <w:tcW w:w="5800" w:type="dxa"/>
            <w:vAlign w:val="bottom"/>
          </w:tcPr>
          <w:p>
            <w:pPr>
              <w:spacing w:after="0"/>
              <w:rPr>
                <w:sz w:val="15"/>
                <w:szCs w:val="15"/>
                <w:color w:val="auto"/>
              </w:rPr>
            </w:pPr>
          </w:p>
        </w:tc>
        <w:tc>
          <w:tcPr>
            <w:tcW w:w="720" w:type="dxa"/>
            <w:vAlign w:val="bottom"/>
          </w:tcPr>
          <w:p>
            <w:pPr>
              <w:ind w:left="160"/>
              <w:spacing w:after="0"/>
              <w:rPr>
                <w:sz w:val="20"/>
                <w:szCs w:val="20"/>
                <w:color w:val="auto"/>
              </w:rPr>
            </w:pPr>
            <w:r>
              <w:rPr>
                <w:rFonts w:ascii="Arial" w:cs="Arial" w:eastAsia="Arial" w:hAnsi="Arial"/>
                <w:sz w:val="12"/>
                <w:szCs w:val="12"/>
                <w:color w:val="3C3C3B"/>
              </w:rPr>
              <w:t>19</w:t>
            </w:r>
          </w:p>
        </w:tc>
        <w:tc>
          <w:tcPr>
            <w:tcW w:w="2420" w:type="dxa"/>
            <w:vAlign w:val="bottom"/>
          </w:tcPr>
          <w:p>
            <w:pPr>
              <w:jc w:val="right"/>
              <w:ind w:right="598"/>
              <w:spacing w:after="0"/>
              <w:rPr>
                <w:sz w:val="20"/>
                <w:szCs w:val="20"/>
                <w:color w:val="auto"/>
              </w:rPr>
            </w:pPr>
            <w:r>
              <w:rPr>
                <w:rFonts w:ascii="Arial" w:cs="Arial" w:eastAsia="Arial" w:hAnsi="Arial"/>
                <w:sz w:val="12"/>
                <w:szCs w:val="12"/>
                <w:color w:val="auto"/>
              </w:rPr>
              <w:t>40</w:t>
            </w:r>
          </w:p>
        </w:tc>
        <w:tc>
          <w:tcPr>
            <w:tcW w:w="112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26"/>
        </w:trPr>
        <w:tc>
          <w:tcPr>
            <w:tcW w:w="69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9"/>
        </w:trPr>
        <w:tc>
          <w:tcPr>
            <w:tcW w:w="6960" w:type="dxa"/>
            <w:vAlign w:val="bottom"/>
            <w:tcBorders>
              <w:bottom w:val="single" w:sz="8" w:color="FDF6EA"/>
            </w:tcBorders>
            <w:gridSpan w:val="2"/>
            <w:shd w:val="clear" w:color="auto" w:fill="FDF6EA"/>
          </w:tcPr>
          <w:p>
            <w:pPr>
              <w:ind w:left="20"/>
              <w:spacing w:after="0"/>
              <w:rPr>
                <w:sz w:val="20"/>
                <w:szCs w:val="20"/>
                <w:color w:val="auto"/>
              </w:rPr>
            </w:pPr>
            <w:r>
              <w:rPr>
                <w:rFonts w:ascii="Arial" w:cs="Arial" w:eastAsia="Arial" w:hAnsi="Arial"/>
                <w:sz w:val="12"/>
                <w:szCs w:val="12"/>
                <w:color w:val="3C3C3B"/>
              </w:rPr>
              <w:t>Liability from royalty financing agreement</w:t>
            </w:r>
          </w:p>
        </w:tc>
        <w:tc>
          <w:tcPr>
            <w:tcW w:w="720" w:type="dxa"/>
            <w:vAlign w:val="bottom"/>
            <w:tcBorders>
              <w:bottom w:val="single" w:sz="8" w:color="FDF6EA"/>
            </w:tcBorders>
            <w:shd w:val="clear" w:color="auto" w:fill="FDF6EA"/>
          </w:tcPr>
          <w:p>
            <w:pPr>
              <w:ind w:left="160"/>
              <w:spacing w:after="0"/>
              <w:rPr>
                <w:sz w:val="20"/>
                <w:szCs w:val="20"/>
                <w:color w:val="auto"/>
              </w:rPr>
            </w:pPr>
            <w:r>
              <w:rPr>
                <w:rFonts w:ascii="Arial" w:cs="Arial" w:eastAsia="Arial" w:hAnsi="Arial"/>
                <w:sz w:val="12"/>
                <w:szCs w:val="12"/>
                <w:color w:val="3C3C3B"/>
              </w:rPr>
              <w:t>17</w:t>
            </w:r>
          </w:p>
        </w:tc>
        <w:tc>
          <w:tcPr>
            <w:tcW w:w="2420" w:type="dxa"/>
            <w:vAlign w:val="bottom"/>
            <w:tcBorders>
              <w:bottom w:val="single" w:sz="8" w:color="FDF6EA"/>
            </w:tcBorders>
            <w:shd w:val="clear" w:color="auto" w:fill="FDF6EA"/>
          </w:tcPr>
          <w:p>
            <w:pPr>
              <w:jc w:val="right"/>
              <w:ind w:right="59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FDF6EA"/>
            </w:tcBorders>
            <w:shd w:val="clear" w:color="auto" w:fill="FDF6EA"/>
          </w:tcPr>
          <w:p>
            <w:pPr>
              <w:jc w:val="right"/>
              <w:spacing w:after="0"/>
              <w:rPr>
                <w:sz w:val="20"/>
                <w:szCs w:val="20"/>
                <w:color w:val="auto"/>
              </w:rPr>
            </w:pPr>
            <w:r>
              <w:rPr>
                <w:rFonts w:ascii="Arial" w:cs="Arial" w:eastAsia="Arial" w:hAnsi="Arial"/>
                <w:sz w:val="12"/>
                <w:szCs w:val="12"/>
                <w:color w:val="auto"/>
              </w:rPr>
              <w:t>15,015</w:t>
            </w:r>
          </w:p>
        </w:tc>
      </w:tr>
      <w:tr>
        <w:trPr>
          <w:trHeight w:val="173"/>
        </w:trPr>
        <w:tc>
          <w:tcPr>
            <w:tcW w:w="6960" w:type="dxa"/>
            <w:vAlign w:val="bottom"/>
            <w:gridSpan w:val="2"/>
          </w:tcPr>
          <w:p>
            <w:pPr>
              <w:ind w:left="20"/>
              <w:spacing w:after="0"/>
              <w:rPr>
                <w:sz w:val="20"/>
                <w:szCs w:val="20"/>
                <w:color w:val="auto"/>
              </w:rPr>
            </w:pPr>
            <w:r>
              <w:rPr>
                <w:rFonts w:ascii="Arial" w:cs="Arial" w:eastAsia="Arial" w:hAnsi="Arial"/>
                <w:sz w:val="12"/>
                <w:szCs w:val="12"/>
                <w:color w:val="3C3C3B"/>
              </w:rPr>
              <w:t>Other current tax liabilities</w:t>
            </w:r>
          </w:p>
        </w:tc>
        <w:tc>
          <w:tcPr>
            <w:tcW w:w="720" w:type="dxa"/>
            <w:vAlign w:val="bottom"/>
          </w:tcPr>
          <w:p>
            <w:pPr>
              <w:ind w:left="160"/>
              <w:spacing w:after="0"/>
              <w:rPr>
                <w:sz w:val="20"/>
                <w:szCs w:val="20"/>
                <w:color w:val="auto"/>
              </w:rPr>
            </w:pPr>
            <w:r>
              <w:rPr>
                <w:rFonts w:ascii="Arial" w:cs="Arial" w:eastAsia="Arial" w:hAnsi="Arial"/>
                <w:sz w:val="12"/>
                <w:szCs w:val="12"/>
                <w:color w:val="3C3C3B"/>
              </w:rPr>
              <w:t>10</w:t>
            </w:r>
          </w:p>
        </w:tc>
        <w:tc>
          <w:tcPr>
            <w:tcW w:w="2420" w:type="dxa"/>
            <w:vAlign w:val="bottom"/>
          </w:tcPr>
          <w:p>
            <w:pPr>
              <w:jc w:val="right"/>
              <w:ind w:right="598"/>
              <w:spacing w:after="0"/>
              <w:rPr>
                <w:sz w:val="20"/>
                <w:szCs w:val="20"/>
                <w:color w:val="auto"/>
              </w:rPr>
            </w:pPr>
            <w:r>
              <w:rPr>
                <w:rFonts w:ascii="Arial" w:cs="Arial" w:eastAsia="Arial" w:hAnsi="Arial"/>
                <w:sz w:val="12"/>
                <w:szCs w:val="12"/>
                <w:color w:val="auto"/>
              </w:rPr>
              <w:t>155</w:t>
            </w:r>
          </w:p>
        </w:tc>
        <w:tc>
          <w:tcPr>
            <w:tcW w:w="1120" w:type="dxa"/>
            <w:vAlign w:val="bottom"/>
          </w:tcPr>
          <w:p>
            <w:pPr>
              <w:jc w:val="right"/>
              <w:spacing w:after="0"/>
              <w:rPr>
                <w:sz w:val="20"/>
                <w:szCs w:val="20"/>
                <w:color w:val="auto"/>
              </w:rPr>
            </w:pPr>
            <w:r>
              <w:rPr>
                <w:rFonts w:ascii="Arial" w:cs="Arial" w:eastAsia="Arial" w:hAnsi="Arial"/>
                <w:sz w:val="12"/>
                <w:szCs w:val="12"/>
                <w:color w:val="auto"/>
              </w:rPr>
              <w:t>137</w:t>
            </w:r>
          </w:p>
        </w:tc>
      </w:tr>
      <w:tr>
        <w:trPr>
          <w:trHeight w:val="26"/>
        </w:trPr>
        <w:tc>
          <w:tcPr>
            <w:tcW w:w="69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2"/>
        </w:trPr>
        <w:tc>
          <w:tcPr>
            <w:tcW w:w="696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3C3C3B"/>
              </w:rPr>
              <w:t>Total - Current liabilities</w:t>
            </w:r>
          </w:p>
        </w:tc>
        <w:tc>
          <w:tcPr>
            <w:tcW w:w="720" w:type="dxa"/>
            <w:vAlign w:val="bottom"/>
          </w:tcPr>
          <w:p>
            <w:pPr>
              <w:spacing w:after="0"/>
              <w:rPr>
                <w:sz w:val="14"/>
                <w:szCs w:val="14"/>
                <w:color w:val="auto"/>
              </w:rPr>
            </w:pPr>
          </w:p>
        </w:tc>
        <w:tc>
          <w:tcPr>
            <w:tcW w:w="2420" w:type="dxa"/>
            <w:vAlign w:val="bottom"/>
          </w:tcPr>
          <w:p>
            <w:pPr>
              <w:jc w:val="right"/>
              <w:ind w:right="598"/>
              <w:spacing w:after="0"/>
              <w:rPr>
                <w:sz w:val="20"/>
                <w:szCs w:val="20"/>
                <w:color w:val="auto"/>
              </w:rPr>
            </w:pPr>
            <w:r>
              <w:rPr>
                <w:rFonts w:ascii="Arial" w:cs="Arial" w:eastAsia="Arial" w:hAnsi="Arial"/>
                <w:sz w:val="12"/>
                <w:szCs w:val="12"/>
                <w:b w:val="1"/>
                <w:bCs w:val="1"/>
                <w:i w:val="1"/>
                <w:iCs w:val="1"/>
                <w:color w:val="auto"/>
              </w:rPr>
              <w:t>75,162</w:t>
            </w:r>
          </w:p>
        </w:tc>
        <w:tc>
          <w:tcPr>
            <w:tcW w:w="112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41,575</w:t>
            </w:r>
          </w:p>
        </w:tc>
      </w:tr>
      <w:tr>
        <w:trPr>
          <w:trHeight w:val="20"/>
        </w:trPr>
        <w:tc>
          <w:tcPr>
            <w:tcW w:w="696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2"/>
        </w:trPr>
        <w:tc>
          <w:tcPr>
            <w:tcW w:w="6960" w:type="dxa"/>
            <w:vAlign w:val="bottom"/>
            <w:gridSpan w:val="2"/>
          </w:tcPr>
          <w:p>
            <w:pPr>
              <w:ind w:left="20"/>
              <w:spacing w:after="0"/>
              <w:rPr>
                <w:sz w:val="20"/>
                <w:szCs w:val="20"/>
                <w:color w:val="auto"/>
              </w:rPr>
            </w:pPr>
            <w:r>
              <w:rPr>
                <w:rFonts w:ascii="Arial" w:cs="Arial" w:eastAsia="Arial" w:hAnsi="Arial"/>
                <w:sz w:val="12"/>
                <w:szCs w:val="12"/>
                <w:b w:val="1"/>
                <w:bCs w:val="1"/>
                <w:color w:val="E99D25"/>
              </w:rPr>
              <w:t>Non-current liabilities</w:t>
            </w:r>
          </w:p>
        </w:tc>
        <w:tc>
          <w:tcPr>
            <w:tcW w:w="7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
        </w:trPr>
        <w:tc>
          <w:tcPr>
            <w:tcW w:w="6960" w:type="dxa"/>
            <w:vAlign w:val="bottom"/>
            <w:tcBorders>
              <w:bottom w:val="single" w:sz="8" w:color="E99D25"/>
            </w:tcBorders>
            <w:gridSpan w:val="2"/>
          </w:tcPr>
          <w:p>
            <w:pPr>
              <w:spacing w:after="0" w:line="20" w:lineRule="exact"/>
              <w:rPr>
                <w:sz w:val="1"/>
                <w:szCs w:val="1"/>
                <w:color w:val="auto"/>
              </w:rPr>
            </w:pPr>
          </w:p>
        </w:tc>
        <w:tc>
          <w:tcPr>
            <w:tcW w:w="720" w:type="dxa"/>
            <w:vAlign w:val="bottom"/>
            <w:tcBorders>
              <w:bottom w:val="single" w:sz="8" w:color="E99D25"/>
            </w:tcBorders>
          </w:tcPr>
          <w:p>
            <w:pPr>
              <w:spacing w:after="0" w:line="20" w:lineRule="exact"/>
              <w:rPr>
                <w:sz w:val="1"/>
                <w:szCs w:val="1"/>
                <w:color w:val="auto"/>
              </w:rPr>
            </w:pPr>
          </w:p>
        </w:tc>
        <w:tc>
          <w:tcPr>
            <w:tcW w:w="2420" w:type="dxa"/>
            <w:vAlign w:val="bottom"/>
            <w:tcBorders>
              <w:bottom w:val="single" w:sz="8" w:color="E99D25"/>
            </w:tcBorders>
          </w:tcPr>
          <w:p>
            <w:pPr>
              <w:spacing w:after="0" w:line="20" w:lineRule="exact"/>
              <w:rPr>
                <w:sz w:val="1"/>
                <w:szCs w:val="1"/>
                <w:color w:val="auto"/>
              </w:rPr>
            </w:pPr>
          </w:p>
        </w:tc>
        <w:tc>
          <w:tcPr>
            <w:tcW w:w="1120" w:type="dxa"/>
            <w:vAlign w:val="bottom"/>
            <w:tcBorders>
              <w:bottom w:val="single" w:sz="8" w:color="E99D25"/>
            </w:tcBorders>
          </w:tcPr>
          <w:p>
            <w:pPr>
              <w:spacing w:after="0" w:line="20" w:lineRule="exact"/>
              <w:rPr>
                <w:sz w:val="1"/>
                <w:szCs w:val="1"/>
                <w:color w:val="auto"/>
              </w:rPr>
            </w:pPr>
          </w:p>
        </w:tc>
      </w:tr>
      <w:tr>
        <w:trPr>
          <w:trHeight w:val="172"/>
        </w:trPr>
        <w:tc>
          <w:tcPr>
            <w:tcW w:w="6960" w:type="dxa"/>
            <w:vAlign w:val="bottom"/>
            <w:tcBorders>
              <w:bottom w:val="single" w:sz="8" w:color="FDF6EA"/>
            </w:tcBorders>
            <w:gridSpan w:val="2"/>
            <w:shd w:val="clear" w:color="auto" w:fill="FDF6EA"/>
          </w:tcPr>
          <w:p>
            <w:pPr>
              <w:ind w:left="20"/>
              <w:spacing w:after="0"/>
              <w:rPr>
                <w:sz w:val="20"/>
                <w:szCs w:val="20"/>
                <w:color w:val="auto"/>
              </w:rPr>
            </w:pPr>
            <w:r>
              <w:rPr>
                <w:rFonts w:ascii="Arial" w:cs="Arial" w:eastAsia="Arial" w:hAnsi="Arial"/>
                <w:sz w:val="12"/>
                <w:szCs w:val="12"/>
                <w:color w:val="3C3C3B"/>
              </w:rPr>
              <w:t>Other non-current loans and borrowings</w:t>
            </w:r>
          </w:p>
        </w:tc>
        <w:tc>
          <w:tcPr>
            <w:tcW w:w="720" w:type="dxa"/>
            <w:vAlign w:val="bottom"/>
            <w:tcBorders>
              <w:bottom w:val="single" w:sz="8" w:color="FDF6EA"/>
            </w:tcBorders>
            <w:shd w:val="clear" w:color="auto" w:fill="FDF6EA"/>
          </w:tcPr>
          <w:p>
            <w:pPr>
              <w:ind w:left="160"/>
              <w:spacing w:after="0"/>
              <w:rPr>
                <w:sz w:val="20"/>
                <w:szCs w:val="20"/>
                <w:color w:val="auto"/>
              </w:rPr>
            </w:pPr>
            <w:r>
              <w:rPr>
                <w:rFonts w:ascii="Arial" w:cs="Arial" w:eastAsia="Arial" w:hAnsi="Arial"/>
                <w:sz w:val="12"/>
                <w:szCs w:val="12"/>
                <w:color w:val="3C3C3B"/>
              </w:rPr>
              <w:t>17</w:t>
            </w:r>
          </w:p>
        </w:tc>
        <w:tc>
          <w:tcPr>
            <w:tcW w:w="2420" w:type="dxa"/>
            <w:vAlign w:val="bottom"/>
            <w:tcBorders>
              <w:bottom w:val="single" w:sz="8" w:color="FDF6EA"/>
            </w:tcBorders>
            <w:shd w:val="clear" w:color="auto" w:fill="FDF6EA"/>
          </w:tcPr>
          <w:p>
            <w:pPr>
              <w:jc w:val="right"/>
              <w:ind w:right="598"/>
              <w:spacing w:after="0"/>
              <w:rPr>
                <w:sz w:val="20"/>
                <w:szCs w:val="20"/>
                <w:color w:val="auto"/>
              </w:rPr>
            </w:pPr>
            <w:r>
              <w:rPr>
                <w:rFonts w:ascii="Arial" w:cs="Arial" w:eastAsia="Arial" w:hAnsi="Arial"/>
                <w:sz w:val="12"/>
                <w:szCs w:val="12"/>
                <w:color w:val="auto"/>
              </w:rPr>
              <w:t>5,552</w:t>
            </w:r>
          </w:p>
        </w:tc>
        <w:tc>
          <w:tcPr>
            <w:tcW w:w="1120" w:type="dxa"/>
            <w:vAlign w:val="bottom"/>
            <w:tcBorders>
              <w:bottom w:val="single" w:sz="8" w:color="FDF6EA"/>
            </w:tcBorders>
            <w:shd w:val="clear" w:color="auto" w:fill="FDF6EA"/>
          </w:tcPr>
          <w:p>
            <w:pPr>
              <w:jc w:val="right"/>
              <w:spacing w:after="0"/>
              <w:rPr>
                <w:sz w:val="20"/>
                <w:szCs w:val="20"/>
                <w:color w:val="auto"/>
              </w:rPr>
            </w:pPr>
            <w:r>
              <w:rPr>
                <w:rFonts w:ascii="Arial" w:cs="Arial" w:eastAsia="Arial" w:hAnsi="Arial"/>
                <w:sz w:val="12"/>
                <w:szCs w:val="12"/>
                <w:color w:val="auto"/>
              </w:rPr>
              <w:t>4,688</w:t>
            </w:r>
          </w:p>
        </w:tc>
      </w:tr>
      <w:tr>
        <w:trPr>
          <w:trHeight w:val="173"/>
        </w:trPr>
        <w:tc>
          <w:tcPr>
            <w:tcW w:w="6960" w:type="dxa"/>
            <w:vAlign w:val="bottom"/>
            <w:gridSpan w:val="2"/>
          </w:tcPr>
          <w:p>
            <w:pPr>
              <w:ind w:left="20"/>
              <w:spacing w:after="0"/>
              <w:rPr>
                <w:sz w:val="20"/>
                <w:szCs w:val="20"/>
                <w:color w:val="auto"/>
              </w:rPr>
            </w:pPr>
            <w:r>
              <w:rPr>
                <w:rFonts w:ascii="Arial" w:cs="Arial" w:eastAsia="Arial" w:hAnsi="Arial"/>
                <w:sz w:val="12"/>
                <w:szCs w:val="12"/>
                <w:color w:val="3C3C3B"/>
              </w:rPr>
              <w:t>Liability from royalty financing agreement</w:t>
            </w:r>
          </w:p>
        </w:tc>
        <w:tc>
          <w:tcPr>
            <w:tcW w:w="720" w:type="dxa"/>
            <w:vAlign w:val="bottom"/>
          </w:tcPr>
          <w:p>
            <w:pPr>
              <w:ind w:left="160"/>
              <w:spacing w:after="0"/>
              <w:rPr>
                <w:sz w:val="20"/>
                <w:szCs w:val="20"/>
                <w:color w:val="auto"/>
              </w:rPr>
            </w:pPr>
            <w:r>
              <w:rPr>
                <w:rFonts w:ascii="Arial" w:cs="Arial" w:eastAsia="Arial" w:hAnsi="Arial"/>
                <w:sz w:val="12"/>
                <w:szCs w:val="12"/>
                <w:color w:val="3C3C3B"/>
              </w:rPr>
              <w:t>17</w:t>
            </w:r>
          </w:p>
        </w:tc>
        <w:tc>
          <w:tcPr>
            <w:tcW w:w="2420" w:type="dxa"/>
            <w:vAlign w:val="bottom"/>
          </w:tcPr>
          <w:p>
            <w:pPr>
              <w:jc w:val="right"/>
              <w:ind w:right="598"/>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116,584</w:t>
            </w:r>
          </w:p>
        </w:tc>
      </w:tr>
      <w:tr>
        <w:trPr>
          <w:trHeight w:val="26"/>
        </w:trPr>
        <w:tc>
          <w:tcPr>
            <w:tcW w:w="69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9"/>
        </w:trPr>
        <w:tc>
          <w:tcPr>
            <w:tcW w:w="6960" w:type="dxa"/>
            <w:vAlign w:val="bottom"/>
            <w:tcBorders>
              <w:bottom w:val="single" w:sz="8" w:color="FDF6EA"/>
            </w:tcBorders>
            <w:gridSpan w:val="2"/>
            <w:shd w:val="clear" w:color="auto" w:fill="FDF6EA"/>
          </w:tcPr>
          <w:p>
            <w:pPr>
              <w:ind w:left="20"/>
              <w:spacing w:after="0"/>
              <w:rPr>
                <w:sz w:val="20"/>
                <w:szCs w:val="20"/>
                <w:color w:val="auto"/>
              </w:rPr>
            </w:pPr>
            <w:r>
              <w:rPr>
                <w:rFonts w:ascii="Arial" w:cs="Arial" w:eastAsia="Arial" w:hAnsi="Arial"/>
                <w:sz w:val="12"/>
                <w:szCs w:val="12"/>
                <w:color w:val="3C3C3B"/>
              </w:rPr>
              <w:t>Non-current employee benefits</w:t>
            </w:r>
          </w:p>
        </w:tc>
        <w:tc>
          <w:tcPr>
            <w:tcW w:w="720" w:type="dxa"/>
            <w:vAlign w:val="bottom"/>
            <w:tcBorders>
              <w:bottom w:val="single" w:sz="8" w:color="FDF6EA"/>
            </w:tcBorders>
            <w:shd w:val="clear" w:color="auto" w:fill="FDF6EA"/>
          </w:tcPr>
          <w:p>
            <w:pPr>
              <w:spacing w:after="0"/>
              <w:rPr>
                <w:sz w:val="15"/>
                <w:szCs w:val="15"/>
                <w:color w:val="auto"/>
              </w:rPr>
            </w:pPr>
          </w:p>
        </w:tc>
        <w:tc>
          <w:tcPr>
            <w:tcW w:w="2420" w:type="dxa"/>
            <w:vAlign w:val="bottom"/>
            <w:tcBorders>
              <w:bottom w:val="single" w:sz="8" w:color="FDF6EA"/>
            </w:tcBorders>
            <w:shd w:val="clear" w:color="auto" w:fill="FDF6EA"/>
          </w:tcPr>
          <w:p>
            <w:pPr>
              <w:jc w:val="right"/>
              <w:ind w:right="598"/>
              <w:spacing w:after="0"/>
              <w:rPr>
                <w:sz w:val="20"/>
                <w:szCs w:val="20"/>
                <w:color w:val="auto"/>
              </w:rPr>
            </w:pPr>
            <w:r>
              <w:rPr>
                <w:rFonts w:ascii="Arial" w:cs="Arial" w:eastAsia="Arial" w:hAnsi="Arial"/>
                <w:sz w:val="12"/>
                <w:szCs w:val="12"/>
                <w:color w:val="auto"/>
              </w:rPr>
              <w:t>1,341</w:t>
            </w:r>
          </w:p>
        </w:tc>
        <w:tc>
          <w:tcPr>
            <w:tcW w:w="1120" w:type="dxa"/>
            <w:vAlign w:val="bottom"/>
            <w:tcBorders>
              <w:bottom w:val="single" w:sz="8" w:color="FDF6EA"/>
            </w:tcBorders>
            <w:shd w:val="clear" w:color="auto" w:fill="FDF6EA"/>
          </w:tcPr>
          <w:p>
            <w:pPr>
              <w:jc w:val="right"/>
              <w:spacing w:after="0"/>
              <w:rPr>
                <w:sz w:val="20"/>
                <w:szCs w:val="20"/>
                <w:color w:val="auto"/>
              </w:rPr>
            </w:pPr>
            <w:r>
              <w:rPr>
                <w:rFonts w:ascii="Arial" w:cs="Arial" w:eastAsia="Arial" w:hAnsi="Arial"/>
                <w:sz w:val="12"/>
                <w:szCs w:val="12"/>
                <w:color w:val="auto"/>
              </w:rPr>
              <w:t>1,364</w:t>
            </w:r>
          </w:p>
        </w:tc>
      </w:tr>
      <w:tr>
        <w:trPr>
          <w:trHeight w:val="173"/>
        </w:trPr>
        <w:tc>
          <w:tcPr>
            <w:tcW w:w="6960" w:type="dxa"/>
            <w:vAlign w:val="bottom"/>
            <w:gridSpan w:val="2"/>
          </w:tcPr>
          <w:p>
            <w:pPr>
              <w:ind w:left="20"/>
              <w:spacing w:after="0"/>
              <w:rPr>
                <w:sz w:val="20"/>
                <w:szCs w:val="20"/>
                <w:color w:val="auto"/>
              </w:rPr>
            </w:pPr>
            <w:r>
              <w:rPr>
                <w:rFonts w:ascii="Arial" w:cs="Arial" w:eastAsia="Arial" w:hAnsi="Arial"/>
                <w:sz w:val="12"/>
                <w:szCs w:val="12"/>
                <w:color w:val="3C3C3B"/>
              </w:rPr>
              <w:t>Deferred tax liabilities</w:t>
            </w:r>
          </w:p>
        </w:tc>
        <w:tc>
          <w:tcPr>
            <w:tcW w:w="720" w:type="dxa"/>
            <w:vAlign w:val="bottom"/>
          </w:tcPr>
          <w:p>
            <w:pPr>
              <w:ind w:left="160"/>
              <w:spacing w:after="0"/>
              <w:rPr>
                <w:sz w:val="20"/>
                <w:szCs w:val="20"/>
                <w:color w:val="auto"/>
              </w:rPr>
            </w:pPr>
            <w:r>
              <w:rPr>
                <w:rFonts w:ascii="Arial" w:cs="Arial" w:eastAsia="Arial" w:hAnsi="Arial"/>
                <w:sz w:val="12"/>
                <w:szCs w:val="12"/>
                <w:color w:val="3C3C3B"/>
              </w:rPr>
              <w:t>10</w:t>
            </w:r>
          </w:p>
        </w:tc>
        <w:tc>
          <w:tcPr>
            <w:tcW w:w="2420" w:type="dxa"/>
            <w:vAlign w:val="bottom"/>
          </w:tcPr>
          <w:p>
            <w:pPr>
              <w:jc w:val="right"/>
              <w:ind w:right="598"/>
              <w:spacing w:after="0"/>
              <w:rPr>
                <w:sz w:val="20"/>
                <w:szCs w:val="20"/>
                <w:color w:val="auto"/>
              </w:rPr>
            </w:pPr>
            <w:r>
              <w:rPr>
                <w:rFonts w:ascii="Arial" w:cs="Arial" w:eastAsia="Arial" w:hAnsi="Arial"/>
                <w:sz w:val="12"/>
                <w:szCs w:val="12"/>
                <w:color w:val="auto"/>
              </w:rPr>
              <w:t>145</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6"/>
        </w:trPr>
        <w:tc>
          <w:tcPr>
            <w:tcW w:w="69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2"/>
        </w:trPr>
        <w:tc>
          <w:tcPr>
            <w:tcW w:w="696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3C3C3B"/>
              </w:rPr>
              <w:t>Total - Non-current liabilities</w:t>
            </w:r>
          </w:p>
        </w:tc>
        <w:tc>
          <w:tcPr>
            <w:tcW w:w="720" w:type="dxa"/>
            <w:vAlign w:val="bottom"/>
          </w:tcPr>
          <w:p>
            <w:pPr>
              <w:spacing w:after="0"/>
              <w:rPr>
                <w:sz w:val="14"/>
                <w:szCs w:val="14"/>
                <w:color w:val="auto"/>
              </w:rPr>
            </w:pPr>
          </w:p>
        </w:tc>
        <w:tc>
          <w:tcPr>
            <w:tcW w:w="2420" w:type="dxa"/>
            <w:vAlign w:val="bottom"/>
          </w:tcPr>
          <w:p>
            <w:pPr>
              <w:jc w:val="right"/>
              <w:ind w:right="598"/>
              <w:spacing w:after="0"/>
              <w:rPr>
                <w:sz w:val="20"/>
                <w:szCs w:val="20"/>
                <w:color w:val="auto"/>
              </w:rPr>
            </w:pPr>
            <w:r>
              <w:rPr>
                <w:rFonts w:ascii="Arial" w:cs="Arial" w:eastAsia="Arial" w:hAnsi="Arial"/>
                <w:sz w:val="12"/>
                <w:szCs w:val="12"/>
                <w:b w:val="1"/>
                <w:bCs w:val="1"/>
                <w:i w:val="1"/>
                <w:iCs w:val="1"/>
                <w:color w:val="auto"/>
              </w:rPr>
              <w:t>7,038</w:t>
            </w:r>
          </w:p>
        </w:tc>
        <w:tc>
          <w:tcPr>
            <w:tcW w:w="112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122,636</w:t>
            </w:r>
          </w:p>
        </w:tc>
      </w:tr>
      <w:tr>
        <w:trPr>
          <w:trHeight w:val="20"/>
        </w:trPr>
        <w:tc>
          <w:tcPr>
            <w:tcW w:w="696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2"/>
        </w:trPr>
        <w:tc>
          <w:tcPr>
            <w:tcW w:w="6960" w:type="dxa"/>
            <w:vAlign w:val="bottom"/>
            <w:gridSpan w:val="2"/>
          </w:tcPr>
          <w:p>
            <w:pPr>
              <w:ind w:left="20"/>
              <w:spacing w:after="0"/>
              <w:rPr>
                <w:sz w:val="20"/>
                <w:szCs w:val="20"/>
                <w:color w:val="auto"/>
              </w:rPr>
            </w:pPr>
            <w:r>
              <w:rPr>
                <w:rFonts w:ascii="Arial" w:cs="Arial" w:eastAsia="Arial" w:hAnsi="Arial"/>
                <w:sz w:val="12"/>
                <w:szCs w:val="12"/>
                <w:b w:val="1"/>
                <w:bCs w:val="1"/>
                <w:color w:val="E99D25"/>
              </w:rPr>
              <w:t>Shareholders' equity</w:t>
            </w:r>
          </w:p>
        </w:tc>
        <w:tc>
          <w:tcPr>
            <w:tcW w:w="7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
        </w:trPr>
        <w:tc>
          <w:tcPr>
            <w:tcW w:w="1160" w:type="dxa"/>
            <w:vAlign w:val="bottom"/>
            <w:tcBorders>
              <w:bottom w:val="single" w:sz="8" w:color="E99D25"/>
            </w:tcBorders>
          </w:tcPr>
          <w:p>
            <w:pPr>
              <w:spacing w:after="0" w:line="20" w:lineRule="exact"/>
              <w:rPr>
                <w:sz w:val="1"/>
                <w:szCs w:val="1"/>
                <w:color w:val="auto"/>
              </w:rPr>
            </w:pPr>
          </w:p>
        </w:tc>
        <w:tc>
          <w:tcPr>
            <w:tcW w:w="5800" w:type="dxa"/>
            <w:vAlign w:val="bottom"/>
            <w:tcBorders>
              <w:bottom w:val="single" w:sz="8" w:color="E99D25"/>
            </w:tcBorders>
          </w:tcPr>
          <w:p>
            <w:pPr>
              <w:spacing w:after="0" w:line="20" w:lineRule="exact"/>
              <w:rPr>
                <w:sz w:val="1"/>
                <w:szCs w:val="1"/>
                <w:color w:val="auto"/>
              </w:rPr>
            </w:pPr>
          </w:p>
        </w:tc>
        <w:tc>
          <w:tcPr>
            <w:tcW w:w="720" w:type="dxa"/>
            <w:vAlign w:val="bottom"/>
            <w:tcBorders>
              <w:bottom w:val="single" w:sz="8" w:color="E99D25"/>
            </w:tcBorders>
          </w:tcPr>
          <w:p>
            <w:pPr>
              <w:spacing w:after="0" w:line="20" w:lineRule="exact"/>
              <w:rPr>
                <w:sz w:val="1"/>
                <w:szCs w:val="1"/>
                <w:color w:val="auto"/>
              </w:rPr>
            </w:pPr>
          </w:p>
        </w:tc>
        <w:tc>
          <w:tcPr>
            <w:tcW w:w="2420" w:type="dxa"/>
            <w:vAlign w:val="bottom"/>
            <w:tcBorders>
              <w:bottom w:val="single" w:sz="8" w:color="E99D25"/>
            </w:tcBorders>
          </w:tcPr>
          <w:p>
            <w:pPr>
              <w:spacing w:after="0" w:line="20" w:lineRule="exact"/>
              <w:rPr>
                <w:sz w:val="1"/>
                <w:szCs w:val="1"/>
                <w:color w:val="auto"/>
              </w:rPr>
            </w:pPr>
          </w:p>
        </w:tc>
        <w:tc>
          <w:tcPr>
            <w:tcW w:w="1120" w:type="dxa"/>
            <w:vAlign w:val="bottom"/>
            <w:tcBorders>
              <w:bottom w:val="single" w:sz="8" w:color="E99D25"/>
            </w:tcBorders>
          </w:tcPr>
          <w:p>
            <w:pPr>
              <w:spacing w:after="0" w:line="20" w:lineRule="exact"/>
              <w:rPr>
                <w:sz w:val="1"/>
                <w:szCs w:val="1"/>
                <w:color w:val="auto"/>
              </w:rPr>
            </w:pPr>
          </w:p>
        </w:tc>
      </w:tr>
      <w:tr>
        <w:trPr>
          <w:trHeight w:val="172"/>
        </w:trPr>
        <w:tc>
          <w:tcPr>
            <w:tcW w:w="11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Share capital</w:t>
            </w:r>
          </w:p>
        </w:tc>
        <w:tc>
          <w:tcPr>
            <w:tcW w:w="5800" w:type="dxa"/>
            <w:vAlign w:val="bottom"/>
            <w:tcBorders>
              <w:bottom w:val="single" w:sz="8" w:color="FDF5E7"/>
            </w:tcBorders>
            <w:shd w:val="clear" w:color="auto" w:fill="FDF5E7"/>
          </w:tcPr>
          <w:p>
            <w:pPr>
              <w:spacing w:after="0"/>
              <w:rPr>
                <w:sz w:val="14"/>
                <w:szCs w:val="14"/>
                <w:color w:val="auto"/>
              </w:rPr>
            </w:pPr>
          </w:p>
        </w:tc>
        <w:tc>
          <w:tcPr>
            <w:tcW w:w="720" w:type="dxa"/>
            <w:vAlign w:val="bottom"/>
            <w:tcBorders>
              <w:bottom w:val="single" w:sz="8" w:color="FDF5E7"/>
            </w:tcBorders>
            <w:shd w:val="clear" w:color="auto" w:fill="FDF5E7"/>
          </w:tcPr>
          <w:p>
            <w:pPr>
              <w:ind w:left="160"/>
              <w:spacing w:after="0"/>
              <w:rPr>
                <w:sz w:val="20"/>
                <w:szCs w:val="20"/>
                <w:color w:val="auto"/>
              </w:rPr>
            </w:pPr>
            <w:r>
              <w:rPr>
                <w:rFonts w:ascii="Arial" w:cs="Arial" w:eastAsia="Arial" w:hAnsi="Arial"/>
                <w:sz w:val="12"/>
                <w:szCs w:val="12"/>
                <w:color w:val="3C3C3B"/>
              </w:rPr>
              <w:t>20</w:t>
            </w:r>
          </w:p>
        </w:tc>
        <w:tc>
          <w:tcPr>
            <w:tcW w:w="2420" w:type="dxa"/>
            <w:vAlign w:val="bottom"/>
            <w:tcBorders>
              <w:bottom w:val="single" w:sz="8" w:color="FDF5E7"/>
            </w:tcBorders>
            <w:shd w:val="clear" w:color="auto" w:fill="FDF5E7"/>
          </w:tcPr>
          <w:p>
            <w:pPr>
              <w:jc w:val="right"/>
              <w:ind w:right="598"/>
              <w:spacing w:after="0"/>
              <w:rPr>
                <w:sz w:val="20"/>
                <w:szCs w:val="20"/>
                <w:color w:val="auto"/>
              </w:rPr>
            </w:pPr>
            <w:r>
              <w:rPr>
                <w:rFonts w:ascii="Arial" w:cs="Arial" w:eastAsia="Arial" w:hAnsi="Arial"/>
                <w:sz w:val="12"/>
                <w:szCs w:val="12"/>
                <w:color w:val="auto"/>
              </w:rPr>
              <w:t>12,499</w:t>
            </w:r>
          </w:p>
        </w:tc>
        <w:tc>
          <w:tcPr>
            <w:tcW w:w="11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12,501</w:t>
            </w:r>
          </w:p>
        </w:tc>
      </w:tr>
      <w:tr>
        <w:trPr>
          <w:trHeight w:val="173"/>
        </w:trPr>
        <w:tc>
          <w:tcPr>
            <w:tcW w:w="1160" w:type="dxa"/>
            <w:vAlign w:val="bottom"/>
          </w:tcPr>
          <w:p>
            <w:pPr>
              <w:ind w:left="20"/>
              <w:spacing w:after="0"/>
              <w:rPr>
                <w:sz w:val="20"/>
                <w:szCs w:val="20"/>
                <w:color w:val="auto"/>
              </w:rPr>
            </w:pPr>
            <w:r>
              <w:rPr>
                <w:rFonts w:ascii="Arial" w:cs="Arial" w:eastAsia="Arial" w:hAnsi="Arial"/>
                <w:sz w:val="12"/>
                <w:szCs w:val="12"/>
                <w:color w:val="3C3C3B"/>
              </w:rPr>
              <w:t>Share premium</w:t>
            </w:r>
          </w:p>
        </w:tc>
        <w:tc>
          <w:tcPr>
            <w:tcW w:w="5800" w:type="dxa"/>
            <w:vAlign w:val="bottom"/>
          </w:tcPr>
          <w:p>
            <w:pPr>
              <w:spacing w:after="0"/>
              <w:rPr>
                <w:sz w:val="15"/>
                <w:szCs w:val="15"/>
                <w:color w:val="auto"/>
              </w:rPr>
            </w:pPr>
          </w:p>
        </w:tc>
        <w:tc>
          <w:tcPr>
            <w:tcW w:w="720" w:type="dxa"/>
            <w:vAlign w:val="bottom"/>
          </w:tcPr>
          <w:p>
            <w:pPr>
              <w:ind w:left="160"/>
              <w:spacing w:after="0"/>
              <w:rPr>
                <w:sz w:val="20"/>
                <w:szCs w:val="20"/>
                <w:color w:val="auto"/>
              </w:rPr>
            </w:pPr>
            <w:r>
              <w:rPr>
                <w:rFonts w:ascii="Arial" w:cs="Arial" w:eastAsia="Arial" w:hAnsi="Arial"/>
                <w:sz w:val="12"/>
                <w:szCs w:val="12"/>
                <w:color w:val="3C3C3B"/>
              </w:rPr>
              <w:t>20</w:t>
            </w:r>
          </w:p>
        </w:tc>
        <w:tc>
          <w:tcPr>
            <w:tcW w:w="2420" w:type="dxa"/>
            <w:vAlign w:val="bottom"/>
          </w:tcPr>
          <w:p>
            <w:pPr>
              <w:jc w:val="right"/>
              <w:ind w:right="598"/>
              <w:spacing w:after="0"/>
              <w:rPr>
                <w:sz w:val="20"/>
                <w:szCs w:val="20"/>
                <w:color w:val="auto"/>
              </w:rPr>
            </w:pPr>
            <w:r>
              <w:rPr>
                <w:rFonts w:ascii="Arial" w:cs="Arial" w:eastAsia="Arial" w:hAnsi="Arial"/>
                <w:sz w:val="12"/>
                <w:szCs w:val="12"/>
                <w:color w:val="auto"/>
              </w:rPr>
              <w:t>446,948</w:t>
            </w:r>
          </w:p>
        </w:tc>
        <w:tc>
          <w:tcPr>
            <w:tcW w:w="1120" w:type="dxa"/>
            <w:vAlign w:val="bottom"/>
          </w:tcPr>
          <w:p>
            <w:pPr>
              <w:jc w:val="right"/>
              <w:spacing w:after="0"/>
              <w:rPr>
                <w:sz w:val="20"/>
                <w:szCs w:val="20"/>
                <w:color w:val="auto"/>
              </w:rPr>
            </w:pPr>
            <w:r>
              <w:rPr>
                <w:rFonts w:ascii="Arial" w:cs="Arial" w:eastAsia="Arial" w:hAnsi="Arial"/>
                <w:sz w:val="12"/>
                <w:szCs w:val="12"/>
                <w:color w:val="auto"/>
              </w:rPr>
              <w:t>440,277</w:t>
            </w:r>
          </w:p>
        </w:tc>
      </w:tr>
      <w:tr>
        <w:trPr>
          <w:trHeight w:val="26"/>
        </w:trPr>
        <w:tc>
          <w:tcPr>
            <w:tcW w:w="69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9"/>
        </w:trPr>
        <w:tc>
          <w:tcPr>
            <w:tcW w:w="696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2"/>
                <w:szCs w:val="12"/>
                <w:color w:val="3C3C3B"/>
              </w:rPr>
              <w:t>Retained earnings (accumulated deficit)</w:t>
            </w:r>
          </w:p>
        </w:tc>
        <w:tc>
          <w:tcPr>
            <w:tcW w:w="720" w:type="dxa"/>
            <w:vAlign w:val="bottom"/>
            <w:tcBorders>
              <w:bottom w:val="single" w:sz="8" w:color="FDF5E7"/>
            </w:tcBorders>
            <w:shd w:val="clear" w:color="auto" w:fill="FDF5E7"/>
          </w:tcPr>
          <w:p>
            <w:pPr>
              <w:ind w:left="160"/>
              <w:spacing w:after="0"/>
              <w:rPr>
                <w:sz w:val="20"/>
                <w:szCs w:val="20"/>
                <w:color w:val="auto"/>
              </w:rPr>
            </w:pPr>
            <w:r>
              <w:rPr>
                <w:rFonts w:ascii="Arial" w:cs="Arial" w:eastAsia="Arial" w:hAnsi="Arial"/>
                <w:sz w:val="12"/>
                <w:szCs w:val="12"/>
                <w:color w:val="3C3C3B"/>
              </w:rPr>
              <w:t>20</w:t>
            </w:r>
          </w:p>
        </w:tc>
        <w:tc>
          <w:tcPr>
            <w:tcW w:w="2420" w:type="dxa"/>
            <w:vAlign w:val="bottom"/>
            <w:tcBorders>
              <w:bottom w:val="single" w:sz="8" w:color="FDF5E7"/>
            </w:tcBorders>
            <w:shd w:val="clear" w:color="auto" w:fill="FDF5E7"/>
          </w:tcPr>
          <w:p>
            <w:pPr>
              <w:jc w:val="right"/>
              <w:ind w:right="598"/>
              <w:spacing w:after="0"/>
              <w:rPr>
                <w:sz w:val="20"/>
                <w:szCs w:val="20"/>
                <w:color w:val="auto"/>
              </w:rPr>
            </w:pPr>
            <w:r>
              <w:rPr>
                <w:rFonts w:ascii="Arial" w:cs="Arial" w:eastAsia="Arial" w:hAnsi="Arial"/>
                <w:sz w:val="12"/>
                <w:szCs w:val="12"/>
                <w:color w:val="auto"/>
              </w:rPr>
              <w:t>(392,077)</w:t>
            </w:r>
          </w:p>
        </w:tc>
        <w:tc>
          <w:tcPr>
            <w:tcW w:w="11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(390,535)</w:t>
            </w:r>
          </w:p>
        </w:tc>
      </w:tr>
      <w:tr>
        <w:trPr>
          <w:trHeight w:val="173"/>
        </w:trPr>
        <w:tc>
          <w:tcPr>
            <w:tcW w:w="6960" w:type="dxa"/>
            <w:vAlign w:val="bottom"/>
            <w:gridSpan w:val="2"/>
          </w:tcPr>
          <w:p>
            <w:pPr>
              <w:ind w:left="20"/>
              <w:spacing w:after="0"/>
              <w:rPr>
                <w:sz w:val="20"/>
                <w:szCs w:val="20"/>
                <w:color w:val="auto"/>
              </w:rPr>
            </w:pPr>
            <w:r>
              <w:rPr>
                <w:rFonts w:ascii="Arial" w:cs="Arial" w:eastAsia="Arial" w:hAnsi="Arial"/>
                <w:sz w:val="12"/>
                <w:szCs w:val="12"/>
                <w:color w:val="3C3C3B"/>
              </w:rPr>
              <w:t>Currency translation adjustment</w:t>
            </w:r>
          </w:p>
        </w:tc>
        <w:tc>
          <w:tcPr>
            <w:tcW w:w="720" w:type="dxa"/>
            <w:vAlign w:val="bottom"/>
          </w:tcPr>
          <w:p>
            <w:pPr>
              <w:ind w:left="160"/>
              <w:spacing w:after="0"/>
              <w:rPr>
                <w:sz w:val="20"/>
                <w:szCs w:val="20"/>
                <w:color w:val="auto"/>
              </w:rPr>
            </w:pPr>
            <w:r>
              <w:rPr>
                <w:rFonts w:ascii="Arial" w:cs="Arial" w:eastAsia="Arial" w:hAnsi="Arial"/>
                <w:sz w:val="12"/>
                <w:szCs w:val="12"/>
                <w:color w:val="3C3C3B"/>
              </w:rPr>
              <w:t>20</w:t>
            </w:r>
          </w:p>
        </w:tc>
        <w:tc>
          <w:tcPr>
            <w:tcW w:w="2420" w:type="dxa"/>
            <w:vAlign w:val="bottom"/>
          </w:tcPr>
          <w:p>
            <w:pPr>
              <w:jc w:val="right"/>
              <w:ind w:right="598"/>
              <w:spacing w:after="0"/>
              <w:rPr>
                <w:sz w:val="20"/>
                <w:szCs w:val="20"/>
                <w:color w:val="auto"/>
              </w:rPr>
            </w:pPr>
            <w:r>
              <w:rPr>
                <w:rFonts w:ascii="Arial" w:cs="Arial" w:eastAsia="Arial" w:hAnsi="Arial"/>
                <w:sz w:val="12"/>
                <w:szCs w:val="12"/>
                <w:color w:val="auto"/>
              </w:rPr>
              <w:t>347</w:t>
            </w:r>
          </w:p>
        </w:tc>
        <w:tc>
          <w:tcPr>
            <w:tcW w:w="1120" w:type="dxa"/>
            <w:vAlign w:val="bottom"/>
          </w:tcPr>
          <w:p>
            <w:pPr>
              <w:jc w:val="right"/>
              <w:spacing w:after="0"/>
              <w:rPr>
                <w:sz w:val="20"/>
                <w:szCs w:val="20"/>
                <w:color w:val="auto"/>
              </w:rPr>
            </w:pPr>
            <w:r>
              <w:rPr>
                <w:rFonts w:ascii="Arial" w:cs="Arial" w:eastAsia="Arial" w:hAnsi="Arial"/>
                <w:sz w:val="12"/>
                <w:szCs w:val="12"/>
                <w:color w:val="auto"/>
              </w:rPr>
              <w:t>186</w:t>
            </w:r>
          </w:p>
        </w:tc>
      </w:tr>
      <w:tr>
        <w:trPr>
          <w:trHeight w:val="26"/>
        </w:trPr>
        <w:tc>
          <w:tcPr>
            <w:tcW w:w="11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4"/>
        </w:trPr>
        <w:tc>
          <w:tcPr>
            <w:tcW w:w="11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Net profit (loss)</w:t>
            </w:r>
          </w:p>
        </w:tc>
        <w:tc>
          <w:tcPr>
            <w:tcW w:w="5800" w:type="dxa"/>
            <w:vAlign w:val="bottom"/>
            <w:tcBorders>
              <w:bottom w:val="single" w:sz="8" w:color="FDF5E7"/>
            </w:tcBorders>
            <w:shd w:val="clear" w:color="auto" w:fill="FDF5E7"/>
          </w:tcPr>
          <w:p>
            <w:pPr>
              <w:spacing w:after="0"/>
              <w:rPr>
                <w:sz w:val="17"/>
                <w:szCs w:val="17"/>
                <w:color w:val="auto"/>
              </w:rPr>
            </w:pPr>
          </w:p>
        </w:tc>
        <w:tc>
          <w:tcPr>
            <w:tcW w:w="720" w:type="dxa"/>
            <w:vAlign w:val="bottom"/>
            <w:tcBorders>
              <w:bottom w:val="single" w:sz="8" w:color="FDF5E7"/>
            </w:tcBorders>
            <w:shd w:val="clear" w:color="auto" w:fill="FDF5E7"/>
          </w:tcPr>
          <w:p>
            <w:pPr>
              <w:ind w:left="180"/>
              <w:spacing w:after="0"/>
              <w:rPr>
                <w:sz w:val="20"/>
                <w:szCs w:val="20"/>
                <w:color w:val="auto"/>
              </w:rPr>
            </w:pPr>
            <w:r>
              <w:rPr>
                <w:rFonts w:ascii="Arial" w:cs="Arial" w:eastAsia="Arial" w:hAnsi="Arial"/>
                <w:sz w:val="12"/>
                <w:szCs w:val="12"/>
                <w:color w:val="3C3C3B"/>
              </w:rPr>
              <w:t>—</w:t>
            </w:r>
          </w:p>
        </w:tc>
        <w:tc>
          <w:tcPr>
            <w:tcW w:w="2420" w:type="dxa"/>
            <w:vAlign w:val="bottom"/>
            <w:tcBorders>
              <w:bottom w:val="single" w:sz="8" w:color="FDF5E7"/>
            </w:tcBorders>
            <w:shd w:val="clear" w:color="auto" w:fill="FDF5E7"/>
          </w:tcPr>
          <w:p>
            <w:pPr>
              <w:jc w:val="right"/>
              <w:ind w:right="598"/>
              <w:spacing w:after="0"/>
              <w:rPr>
                <w:sz w:val="20"/>
                <w:szCs w:val="20"/>
                <w:color w:val="auto"/>
              </w:rPr>
            </w:pPr>
            <w:r>
              <w:rPr>
                <w:rFonts w:ascii="Arial" w:cs="Arial" w:eastAsia="Arial" w:hAnsi="Arial"/>
                <w:sz w:val="12"/>
                <w:szCs w:val="12"/>
                <w:color w:val="auto"/>
              </w:rPr>
              <w:t>1,507</w:t>
            </w:r>
          </w:p>
        </w:tc>
        <w:tc>
          <w:tcPr>
            <w:tcW w:w="11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(9,956)</w:t>
            </w:r>
          </w:p>
        </w:tc>
      </w:tr>
      <w:tr>
        <w:trPr>
          <w:trHeight w:val="172"/>
        </w:trPr>
        <w:tc>
          <w:tcPr>
            <w:tcW w:w="696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b w:val="1"/>
                <w:bCs w:val="1"/>
                <w:i w:val="1"/>
                <w:iCs w:val="1"/>
                <w:color w:val="3C3C3B"/>
              </w:rPr>
              <w:t>Total - Shareholders' equity</w:t>
            </w:r>
          </w:p>
        </w:tc>
        <w:tc>
          <w:tcPr>
            <w:tcW w:w="720" w:type="dxa"/>
            <w:vAlign w:val="bottom"/>
            <w:tcBorders>
              <w:top w:val="single" w:sz="8" w:color="auto"/>
            </w:tcBorders>
          </w:tcPr>
          <w:p>
            <w:pPr>
              <w:spacing w:after="0"/>
              <w:rPr>
                <w:sz w:val="14"/>
                <w:szCs w:val="14"/>
                <w:color w:val="auto"/>
              </w:rPr>
            </w:pPr>
          </w:p>
        </w:tc>
        <w:tc>
          <w:tcPr>
            <w:tcW w:w="2420" w:type="dxa"/>
            <w:vAlign w:val="bottom"/>
            <w:tcBorders>
              <w:top w:val="single" w:sz="8" w:color="auto"/>
            </w:tcBorders>
          </w:tcPr>
          <w:p>
            <w:pPr>
              <w:jc w:val="right"/>
              <w:ind w:right="598"/>
              <w:spacing w:after="0"/>
              <w:rPr>
                <w:sz w:val="20"/>
                <w:szCs w:val="20"/>
                <w:color w:val="auto"/>
              </w:rPr>
            </w:pPr>
            <w:r>
              <w:rPr>
                <w:rFonts w:ascii="Arial" w:cs="Arial" w:eastAsia="Arial" w:hAnsi="Arial"/>
                <w:sz w:val="12"/>
                <w:szCs w:val="12"/>
                <w:b w:val="1"/>
                <w:bCs w:val="1"/>
                <w:i w:val="1"/>
                <w:iCs w:val="1"/>
                <w:color w:val="auto"/>
              </w:rPr>
              <w:t>69,224</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i w:val="1"/>
                <w:iCs w:val="1"/>
                <w:color w:val="auto"/>
              </w:rPr>
              <w:t>52,472</w:t>
            </w:r>
          </w:p>
        </w:tc>
      </w:tr>
      <w:tr>
        <w:trPr>
          <w:trHeight w:val="20"/>
        </w:trPr>
        <w:tc>
          <w:tcPr>
            <w:tcW w:w="696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2"/>
        </w:trPr>
        <w:tc>
          <w:tcPr>
            <w:tcW w:w="6960" w:type="dxa"/>
            <w:vAlign w:val="bottom"/>
            <w:gridSpan w:val="2"/>
          </w:tcPr>
          <w:p>
            <w:pPr>
              <w:ind w:left="20"/>
              <w:spacing w:after="0"/>
              <w:rPr>
                <w:sz w:val="20"/>
                <w:szCs w:val="20"/>
                <w:color w:val="auto"/>
              </w:rPr>
            </w:pPr>
            <w:r>
              <w:rPr>
                <w:rFonts w:ascii="Arial" w:cs="Arial" w:eastAsia="Arial" w:hAnsi="Arial"/>
                <w:sz w:val="12"/>
                <w:szCs w:val="12"/>
                <w:b w:val="1"/>
                <w:bCs w:val="1"/>
                <w:color w:val="E99D25"/>
              </w:rPr>
              <w:t>Total - Shareholders' equity &amp; liabilities</w:t>
            </w:r>
          </w:p>
        </w:tc>
        <w:tc>
          <w:tcPr>
            <w:tcW w:w="720" w:type="dxa"/>
            <w:vAlign w:val="bottom"/>
          </w:tcPr>
          <w:p>
            <w:pPr>
              <w:spacing w:after="0"/>
              <w:rPr>
                <w:sz w:val="14"/>
                <w:szCs w:val="14"/>
                <w:color w:val="auto"/>
              </w:rPr>
            </w:pPr>
          </w:p>
        </w:tc>
        <w:tc>
          <w:tcPr>
            <w:tcW w:w="2420" w:type="dxa"/>
            <w:vAlign w:val="bottom"/>
          </w:tcPr>
          <w:p>
            <w:pPr>
              <w:jc w:val="right"/>
              <w:ind w:right="598"/>
              <w:spacing w:after="0"/>
              <w:rPr>
                <w:sz w:val="20"/>
                <w:szCs w:val="20"/>
                <w:color w:val="auto"/>
              </w:rPr>
            </w:pPr>
            <w:r>
              <w:rPr>
                <w:rFonts w:ascii="Arial" w:cs="Arial" w:eastAsia="Arial" w:hAnsi="Arial"/>
                <w:sz w:val="12"/>
                <w:szCs w:val="12"/>
                <w:b w:val="1"/>
                <w:bCs w:val="1"/>
                <w:color w:val="E99D25"/>
              </w:rPr>
              <w:t>151,424</w:t>
            </w:r>
          </w:p>
        </w:tc>
        <w:tc>
          <w:tcPr>
            <w:tcW w:w="1120" w:type="dxa"/>
            <w:vAlign w:val="bottom"/>
          </w:tcPr>
          <w:p>
            <w:pPr>
              <w:jc w:val="right"/>
              <w:spacing w:after="0"/>
              <w:rPr>
                <w:sz w:val="20"/>
                <w:szCs w:val="20"/>
                <w:color w:val="auto"/>
              </w:rPr>
            </w:pPr>
            <w:r>
              <w:rPr>
                <w:rFonts w:ascii="Arial" w:cs="Arial" w:eastAsia="Arial" w:hAnsi="Arial"/>
                <w:sz w:val="12"/>
                <w:szCs w:val="12"/>
                <w:b w:val="1"/>
                <w:bCs w:val="1"/>
                <w:color w:val="E99D25"/>
              </w:rPr>
              <w:t>216,683</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5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830" w:type="dxa"/>
        <w:tblCellMar>
          <w:top w:w="0" w:type="dxa"/>
          <w:left w:w="0" w:type="dxa"/>
          <w:bottom w:w="0" w:type="dxa"/>
          <w:right w:w="0" w:type="dxa"/>
        </w:tblCellMar>
      </w:tblPr>
      <w:tr>
        <w:trPr>
          <w:trHeight w:val="146"/>
        </w:trPr>
        <w:tc>
          <w:tcPr>
            <w:tcW w:w="7880" w:type="dxa"/>
            <w:vAlign w:val="bottom"/>
            <w:tcBorders>
              <w:left w:val="single" w:sz="8" w:color="57879D"/>
            </w:tcBorders>
            <w:vMerge w:val="restart"/>
          </w:tcPr>
          <w:p>
            <w:pPr>
              <w:ind w:left="40"/>
              <w:spacing w:after="0"/>
              <w:rPr>
                <w:sz w:val="20"/>
                <w:szCs w:val="20"/>
                <w:color w:val="auto"/>
              </w:rPr>
            </w:pPr>
            <w:r>
              <w:rPr>
                <w:rFonts w:ascii="Arial" w:cs="Arial" w:eastAsia="Arial" w:hAnsi="Arial"/>
                <w:sz w:val="15"/>
                <w:szCs w:val="15"/>
                <w:color w:val="3C3C3B"/>
              </w:rPr>
              <w:t>Half-Year Business and Financial Report at June 30, 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7880" w:type="dxa"/>
            <w:vAlign w:val="bottom"/>
            <w:tcBorders>
              <w:left w:val="single" w:sz="8" w:color="57879D"/>
            </w:tcBorders>
            <w:vMerge w:val="continue"/>
          </w:tcPr>
          <w:p>
            <w:pPr>
              <w:spacing w:after="0"/>
              <w:rPr>
                <w:sz w:val="22"/>
                <w:szCs w:val="22"/>
                <w:color w:val="auto"/>
              </w:rPr>
            </w:pPr>
          </w:p>
        </w:tc>
        <w:tc>
          <w:tcPr>
            <w:tcW w:w="640" w:type="dxa"/>
            <w:vAlign w:val="bottom"/>
            <w:shd w:val="clear" w:color="auto" w:fill="DBDBDB"/>
          </w:tcPr>
          <w:p>
            <w:pPr>
              <w:jc w:val="right"/>
              <w:ind w:right="385"/>
              <w:spacing w:after="0"/>
              <w:rPr>
                <w:sz w:val="20"/>
                <w:szCs w:val="20"/>
                <w:color w:val="auto"/>
              </w:rPr>
            </w:pPr>
            <w:r>
              <w:rPr>
                <w:rFonts w:ascii="Arial" w:cs="Arial" w:eastAsia="Arial" w:hAnsi="Arial"/>
                <w:sz w:val="15"/>
                <w:szCs w:val="15"/>
                <w:color w:val="3C3C3B"/>
                <w:w w:val="95"/>
              </w:rPr>
              <w:t>16</w:t>
            </w:r>
          </w:p>
        </w:tc>
        <w:tc>
          <w:tcPr>
            <w:tcW w:w="0" w:type="dxa"/>
            <w:vAlign w:val="bottom"/>
          </w:tcPr>
          <w:p>
            <w:pPr>
              <w:spacing w:after="0"/>
              <w:rPr>
                <w:sz w:val="1"/>
                <w:szCs w:val="1"/>
                <w:color w:val="auto"/>
              </w:rPr>
            </w:pPr>
          </w:p>
        </w:tc>
      </w:tr>
      <w:tr>
        <w:trPr>
          <w:trHeight w:val="71"/>
        </w:trPr>
        <w:tc>
          <w:tcPr>
            <w:tcW w:w="7880" w:type="dxa"/>
            <w:vAlign w:val="bottom"/>
            <w:tcBorders>
              <w:left w:val="single" w:sz="8" w:color="57879D"/>
            </w:tcBorders>
          </w:tcPr>
          <w:p>
            <w:pPr>
              <w:spacing w:after="0"/>
              <w:rPr>
                <w:sz w:val="6"/>
                <w:szCs w:val="6"/>
                <w:color w:val="auto"/>
              </w:rPr>
            </w:pPr>
          </w:p>
        </w:tc>
        <w:tc>
          <w:tcPr>
            <w:tcW w:w="6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7880" w:type="dxa"/>
            <w:vAlign w:val="bottom"/>
            <w:tcBorders>
              <w:left w:val="single" w:sz="8" w:color="57879D"/>
            </w:tcBorders>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-369570</wp:posOffset>
            </wp:positionV>
            <wp:extent cx="1094105" cy="277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94105" cy="277495"/>
                    </a:xfrm>
                    <a:prstGeom prst="rect">
                      <a:avLst/>
                    </a:prstGeom>
                    <a:noFill/>
                  </pic:spPr>
                </pic:pic>
              </a:graphicData>
            </a:graphic>
          </wp:anchor>
        </w:drawing>
      </w:r>
    </w:p>
    <w:p>
      <w:pPr>
        <w:sectPr>
          <w:pgSz w:w="11900" w:h="16838" w:orient="portrait"/>
          <w:cols w:equalWidth="0" w:num="1">
            <w:col w:w="11340"/>
          </w:cols>
          <w:pgMar w:left="320" w:top="134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374"/>
        </w:trPr>
        <w:tc>
          <w:tcPr>
            <w:tcW w:w="1120" w:type="dxa"/>
            <w:vAlign w:val="bottom"/>
          </w:tcPr>
          <w:p>
            <w:pPr>
              <w:ind w:left="100"/>
              <w:spacing w:after="0"/>
              <w:rPr>
                <w:sz w:val="20"/>
                <w:szCs w:val="20"/>
                <w:color w:val="auto"/>
              </w:rPr>
            </w:pPr>
            <w:r>
              <w:rPr>
                <w:rFonts w:ascii="Arial" w:cs="Arial" w:eastAsia="Arial" w:hAnsi="Arial"/>
                <w:sz w:val="28"/>
                <w:szCs w:val="28"/>
                <w:color w:val="57879D"/>
              </w:rPr>
              <w:t>3.2</w:t>
            </w:r>
          </w:p>
        </w:tc>
        <w:tc>
          <w:tcPr>
            <w:tcW w:w="5880" w:type="dxa"/>
            <w:vAlign w:val="bottom"/>
          </w:tcPr>
          <w:p>
            <w:pPr>
              <w:ind w:left="60"/>
              <w:spacing w:after="0"/>
              <w:rPr>
                <w:sz w:val="20"/>
                <w:szCs w:val="20"/>
                <w:color w:val="auto"/>
              </w:rPr>
            </w:pPr>
            <w:r>
              <w:rPr>
                <w:rFonts w:ascii="Arial" w:cs="Arial" w:eastAsia="Arial" w:hAnsi="Arial"/>
                <w:sz w:val="28"/>
                <w:szCs w:val="28"/>
                <w:color w:val="57879D"/>
              </w:rPr>
              <w:t>Consolidated Statements of Operations</w:t>
            </w: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
        </w:trPr>
        <w:tc>
          <w:tcPr>
            <w:tcW w:w="1120" w:type="dxa"/>
            <w:vAlign w:val="bottom"/>
            <w:tcBorders>
              <w:bottom w:val="single" w:sz="8" w:color="57879D"/>
            </w:tcBorders>
          </w:tcPr>
          <w:p>
            <w:pPr>
              <w:spacing w:after="0"/>
              <w:rPr>
                <w:sz w:val="2"/>
                <w:szCs w:val="2"/>
                <w:color w:val="auto"/>
              </w:rPr>
            </w:pPr>
          </w:p>
        </w:tc>
        <w:tc>
          <w:tcPr>
            <w:tcW w:w="5880" w:type="dxa"/>
            <w:vAlign w:val="bottom"/>
            <w:tcBorders>
              <w:bottom w:val="single" w:sz="8" w:color="57879D"/>
            </w:tcBorders>
          </w:tcPr>
          <w:p>
            <w:pPr>
              <w:spacing w:after="0"/>
              <w:rPr>
                <w:sz w:val="2"/>
                <w:szCs w:val="2"/>
                <w:color w:val="auto"/>
              </w:rPr>
            </w:pPr>
          </w:p>
        </w:tc>
        <w:tc>
          <w:tcPr>
            <w:tcW w:w="1640" w:type="dxa"/>
            <w:vAlign w:val="bottom"/>
            <w:tcBorders>
              <w:bottom w:val="single" w:sz="8" w:color="57879D"/>
            </w:tcBorders>
          </w:tcPr>
          <w:p>
            <w:pPr>
              <w:spacing w:after="0"/>
              <w:rPr>
                <w:sz w:val="2"/>
                <w:szCs w:val="2"/>
                <w:color w:val="auto"/>
              </w:rPr>
            </w:pPr>
          </w:p>
        </w:tc>
        <w:tc>
          <w:tcPr>
            <w:tcW w:w="1340" w:type="dxa"/>
            <w:vAlign w:val="bottom"/>
            <w:tcBorders>
              <w:bottom w:val="single" w:sz="8" w:color="57879D"/>
            </w:tcBorders>
          </w:tcPr>
          <w:p>
            <w:pPr>
              <w:spacing w:after="0"/>
              <w:rPr>
                <w:sz w:val="2"/>
                <w:szCs w:val="2"/>
                <w:color w:val="auto"/>
              </w:rPr>
            </w:pPr>
          </w:p>
        </w:tc>
        <w:tc>
          <w:tcPr>
            <w:tcW w:w="520" w:type="dxa"/>
            <w:vAlign w:val="bottom"/>
            <w:tcBorders>
              <w:bottom w:val="single" w:sz="8" w:color="57879D"/>
            </w:tcBorders>
          </w:tcPr>
          <w:p>
            <w:pPr>
              <w:spacing w:after="0"/>
              <w:rPr>
                <w:sz w:val="2"/>
                <w:szCs w:val="2"/>
                <w:color w:val="auto"/>
              </w:rPr>
            </w:pPr>
          </w:p>
        </w:tc>
        <w:tc>
          <w:tcPr>
            <w:tcW w:w="720" w:type="dxa"/>
            <w:vAlign w:val="bottom"/>
            <w:tcBorders>
              <w:bottom w:val="single" w:sz="8" w:color="57879D"/>
            </w:tcBorders>
          </w:tcPr>
          <w:p>
            <w:pPr>
              <w:spacing w:after="0"/>
              <w:rPr>
                <w:sz w:val="2"/>
                <w:szCs w:val="2"/>
                <w:color w:val="auto"/>
              </w:rPr>
            </w:pPr>
          </w:p>
        </w:tc>
      </w:tr>
      <w:tr>
        <w:trPr>
          <w:trHeight w:val="371"/>
        </w:trPr>
        <w:tc>
          <w:tcPr>
            <w:tcW w:w="11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640" w:type="dxa"/>
            <w:vAlign w:val="bottom"/>
          </w:tcPr>
          <w:p>
            <w:pPr>
              <w:ind w:left="900"/>
              <w:spacing w:after="0"/>
              <w:rPr>
                <w:sz w:val="20"/>
                <w:szCs w:val="20"/>
                <w:color w:val="auto"/>
              </w:rPr>
            </w:pPr>
            <w:r>
              <w:rPr>
                <w:rFonts w:ascii="Arial" w:cs="Arial" w:eastAsia="Arial" w:hAnsi="Arial"/>
                <w:sz w:val="12"/>
                <w:szCs w:val="12"/>
                <w:b w:val="1"/>
                <w:bCs w:val="1"/>
                <w:color w:val="3C3C3B"/>
              </w:rPr>
              <w:t>Notes</w:t>
            </w:r>
          </w:p>
        </w:tc>
        <w:tc>
          <w:tcPr>
            <w:tcW w:w="1860" w:type="dxa"/>
            <w:vAlign w:val="bottom"/>
            <w:gridSpan w:val="2"/>
          </w:tcPr>
          <w:p>
            <w:pPr>
              <w:ind w:left="840"/>
              <w:spacing w:after="0"/>
              <w:rPr>
                <w:sz w:val="20"/>
                <w:szCs w:val="20"/>
                <w:color w:val="auto"/>
              </w:rPr>
            </w:pPr>
            <w:r>
              <w:rPr>
                <w:rFonts w:ascii="Arial" w:cs="Arial" w:eastAsia="Arial" w:hAnsi="Arial"/>
                <w:sz w:val="12"/>
                <w:szCs w:val="12"/>
                <w:b w:val="1"/>
                <w:bCs w:val="1"/>
                <w:color w:val="3C3C3B"/>
              </w:rPr>
              <w:t>Half-year ended</w:t>
            </w:r>
          </w:p>
        </w:tc>
        <w:tc>
          <w:tcPr>
            <w:tcW w:w="720" w:type="dxa"/>
            <w:vAlign w:val="bottom"/>
          </w:tcPr>
          <w:p>
            <w:pPr>
              <w:spacing w:after="0"/>
              <w:rPr>
                <w:sz w:val="24"/>
                <w:szCs w:val="24"/>
                <w:color w:val="auto"/>
              </w:rPr>
            </w:pPr>
          </w:p>
        </w:tc>
      </w:tr>
      <w:tr>
        <w:trPr>
          <w:trHeight w:val="20"/>
        </w:trPr>
        <w:tc>
          <w:tcPr>
            <w:tcW w:w="70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Borders>
              <w:bottom w:val="single" w:sz="8" w:color="242424"/>
            </w:tcBorders>
          </w:tcPr>
          <w:p>
            <w:pPr>
              <w:spacing w:after="0" w:line="20" w:lineRule="exact"/>
              <w:rPr>
                <w:sz w:val="1"/>
                <w:szCs w:val="1"/>
                <w:color w:val="auto"/>
              </w:rPr>
            </w:pPr>
          </w:p>
        </w:tc>
        <w:tc>
          <w:tcPr>
            <w:tcW w:w="520" w:type="dxa"/>
            <w:vAlign w:val="bottom"/>
            <w:tcBorders>
              <w:bottom w:val="single" w:sz="8" w:color="242424"/>
            </w:tcBorders>
          </w:tcPr>
          <w:p>
            <w:pPr>
              <w:spacing w:after="0" w:line="20" w:lineRule="exact"/>
              <w:rPr>
                <w:sz w:val="1"/>
                <w:szCs w:val="1"/>
                <w:color w:val="auto"/>
              </w:rPr>
            </w:pPr>
          </w:p>
        </w:tc>
        <w:tc>
          <w:tcPr>
            <w:tcW w:w="720" w:type="dxa"/>
            <w:vAlign w:val="bottom"/>
            <w:tcBorders>
              <w:bottom w:val="single" w:sz="8" w:color="242424"/>
            </w:tcBorders>
          </w:tcPr>
          <w:p>
            <w:pPr>
              <w:spacing w:after="0" w:line="20" w:lineRule="exact"/>
              <w:rPr>
                <w:sz w:val="1"/>
                <w:szCs w:val="1"/>
                <w:color w:val="auto"/>
              </w:rPr>
            </w:pPr>
          </w:p>
        </w:tc>
      </w:tr>
      <w:tr>
        <w:trPr>
          <w:trHeight w:val="172"/>
        </w:trPr>
        <w:tc>
          <w:tcPr>
            <w:tcW w:w="7000" w:type="dxa"/>
            <w:vAlign w:val="bottom"/>
            <w:gridSpan w:val="2"/>
          </w:tcPr>
          <w:p>
            <w:pPr>
              <w:ind w:left="20"/>
              <w:spacing w:after="0"/>
              <w:rPr>
                <w:sz w:val="20"/>
                <w:szCs w:val="20"/>
                <w:color w:val="auto"/>
              </w:rPr>
            </w:pPr>
            <w:r>
              <w:rPr>
                <w:rFonts w:ascii="Arial" w:cs="Arial" w:eastAsia="Arial" w:hAnsi="Arial"/>
                <w:sz w:val="12"/>
                <w:szCs w:val="12"/>
                <w:i w:val="1"/>
                <w:iCs w:val="1"/>
                <w:color w:val="3C3C3B"/>
              </w:rPr>
              <w:t>(in € thousands, except earnings per share data)</w:t>
            </w:r>
          </w:p>
        </w:tc>
        <w:tc>
          <w:tcPr>
            <w:tcW w:w="1640" w:type="dxa"/>
            <w:vAlign w:val="bottom"/>
          </w:tcPr>
          <w:p>
            <w:pPr>
              <w:spacing w:after="0"/>
              <w:rPr>
                <w:sz w:val="14"/>
                <w:szCs w:val="14"/>
                <w:color w:val="auto"/>
              </w:rPr>
            </w:pPr>
          </w:p>
        </w:tc>
        <w:tc>
          <w:tcPr>
            <w:tcW w:w="1340" w:type="dxa"/>
            <w:vAlign w:val="bottom"/>
          </w:tcPr>
          <w:p>
            <w:pPr>
              <w:jc w:val="right"/>
              <w:ind w:right="38"/>
              <w:spacing w:after="0"/>
              <w:rPr>
                <w:sz w:val="20"/>
                <w:szCs w:val="20"/>
                <w:color w:val="auto"/>
              </w:rPr>
            </w:pPr>
            <w:r>
              <w:rPr>
                <w:rFonts w:ascii="Arial" w:cs="Arial" w:eastAsia="Arial" w:hAnsi="Arial"/>
                <w:sz w:val="12"/>
                <w:szCs w:val="12"/>
                <w:b w:val="1"/>
                <w:bCs w:val="1"/>
                <w:color w:val="3C3C3B"/>
              </w:rPr>
              <w:t>2024/06/30</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7000" w:type="dxa"/>
            <w:vAlign w:val="bottom"/>
            <w:tcBorders>
              <w:bottom w:val="single" w:sz="8" w:color="242424"/>
            </w:tcBorders>
            <w:gridSpan w:val="2"/>
          </w:tcPr>
          <w:p>
            <w:pPr>
              <w:spacing w:after="0" w:line="20" w:lineRule="exact"/>
              <w:rPr>
                <w:sz w:val="1"/>
                <w:szCs w:val="1"/>
                <w:color w:val="auto"/>
              </w:rPr>
            </w:pPr>
          </w:p>
        </w:tc>
        <w:tc>
          <w:tcPr>
            <w:tcW w:w="1640" w:type="dxa"/>
            <w:vAlign w:val="bottom"/>
            <w:tcBorders>
              <w:bottom w:val="single" w:sz="8" w:color="242424"/>
            </w:tcBorders>
          </w:tcPr>
          <w:p>
            <w:pPr>
              <w:spacing w:after="0" w:line="20" w:lineRule="exact"/>
              <w:rPr>
                <w:sz w:val="1"/>
                <w:szCs w:val="1"/>
                <w:color w:val="auto"/>
              </w:rPr>
            </w:pPr>
          </w:p>
        </w:tc>
        <w:tc>
          <w:tcPr>
            <w:tcW w:w="1340" w:type="dxa"/>
            <w:vAlign w:val="bottom"/>
            <w:tcBorders>
              <w:bottom w:val="single" w:sz="8" w:color="242424"/>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2"/>
        </w:trPr>
        <w:tc>
          <w:tcPr>
            <w:tcW w:w="7000" w:type="dxa"/>
            <w:vAlign w:val="bottom"/>
            <w:gridSpan w:val="2"/>
          </w:tcPr>
          <w:p>
            <w:pPr>
              <w:ind w:left="20"/>
              <w:spacing w:after="0"/>
              <w:rPr>
                <w:sz w:val="20"/>
                <w:szCs w:val="20"/>
                <w:color w:val="auto"/>
              </w:rPr>
            </w:pPr>
            <w:r>
              <w:rPr>
                <w:rFonts w:ascii="Arial" w:cs="Arial" w:eastAsia="Arial" w:hAnsi="Arial"/>
                <w:sz w:val="12"/>
                <w:szCs w:val="12"/>
                <w:b w:val="1"/>
                <w:bCs w:val="1"/>
                <w:color w:val="E99D25"/>
              </w:rPr>
              <w:t>Revenues and other income</w:t>
            </w:r>
          </w:p>
        </w:tc>
        <w:tc>
          <w:tcPr>
            <w:tcW w:w="1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
        </w:trPr>
        <w:tc>
          <w:tcPr>
            <w:tcW w:w="1120" w:type="dxa"/>
            <w:vAlign w:val="bottom"/>
            <w:tcBorders>
              <w:bottom w:val="single" w:sz="8" w:color="E99D25"/>
            </w:tcBorders>
          </w:tcPr>
          <w:p>
            <w:pPr>
              <w:spacing w:after="0" w:line="20" w:lineRule="exact"/>
              <w:rPr>
                <w:sz w:val="1"/>
                <w:szCs w:val="1"/>
                <w:color w:val="auto"/>
              </w:rPr>
            </w:pPr>
          </w:p>
        </w:tc>
        <w:tc>
          <w:tcPr>
            <w:tcW w:w="5880" w:type="dxa"/>
            <w:vAlign w:val="bottom"/>
            <w:tcBorders>
              <w:bottom w:val="single" w:sz="8" w:color="E99D25"/>
            </w:tcBorders>
          </w:tcPr>
          <w:p>
            <w:pPr>
              <w:spacing w:after="0" w:line="20" w:lineRule="exact"/>
              <w:rPr>
                <w:sz w:val="1"/>
                <w:szCs w:val="1"/>
                <w:color w:val="auto"/>
              </w:rPr>
            </w:pPr>
          </w:p>
        </w:tc>
        <w:tc>
          <w:tcPr>
            <w:tcW w:w="1640" w:type="dxa"/>
            <w:vAlign w:val="bottom"/>
            <w:tcBorders>
              <w:bottom w:val="single" w:sz="8" w:color="E99D25"/>
            </w:tcBorders>
          </w:tcPr>
          <w:p>
            <w:pPr>
              <w:spacing w:after="0" w:line="20" w:lineRule="exact"/>
              <w:rPr>
                <w:sz w:val="1"/>
                <w:szCs w:val="1"/>
                <w:color w:val="auto"/>
              </w:rPr>
            </w:pPr>
          </w:p>
        </w:tc>
        <w:tc>
          <w:tcPr>
            <w:tcW w:w="1340" w:type="dxa"/>
            <w:vAlign w:val="bottom"/>
            <w:tcBorders>
              <w:bottom w:val="single" w:sz="8" w:color="E99D25"/>
            </w:tcBorders>
          </w:tcPr>
          <w:p>
            <w:pPr>
              <w:spacing w:after="0" w:line="20" w:lineRule="exact"/>
              <w:rPr>
                <w:sz w:val="1"/>
                <w:szCs w:val="1"/>
                <w:color w:val="auto"/>
              </w:rPr>
            </w:pPr>
          </w:p>
        </w:tc>
        <w:tc>
          <w:tcPr>
            <w:tcW w:w="520" w:type="dxa"/>
            <w:vAlign w:val="bottom"/>
            <w:tcBorders>
              <w:bottom w:val="single" w:sz="8" w:color="E99D25"/>
            </w:tcBorders>
          </w:tcPr>
          <w:p>
            <w:pPr>
              <w:spacing w:after="0" w:line="20" w:lineRule="exact"/>
              <w:rPr>
                <w:sz w:val="1"/>
                <w:szCs w:val="1"/>
                <w:color w:val="auto"/>
              </w:rPr>
            </w:pPr>
          </w:p>
        </w:tc>
        <w:tc>
          <w:tcPr>
            <w:tcW w:w="720" w:type="dxa"/>
            <w:vAlign w:val="bottom"/>
            <w:tcBorders>
              <w:bottom w:val="single" w:sz="8" w:color="E99D25"/>
            </w:tcBorders>
          </w:tcPr>
          <w:p>
            <w:pPr>
              <w:spacing w:after="0" w:line="20" w:lineRule="exact"/>
              <w:rPr>
                <w:sz w:val="1"/>
                <w:szCs w:val="1"/>
                <w:color w:val="auto"/>
              </w:rPr>
            </w:pPr>
          </w:p>
        </w:tc>
      </w:tr>
      <w:tr>
        <w:trPr>
          <w:trHeight w:val="172"/>
        </w:trPr>
        <w:tc>
          <w:tcPr>
            <w:tcW w:w="112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Revenue</w:t>
            </w:r>
          </w:p>
        </w:tc>
        <w:tc>
          <w:tcPr>
            <w:tcW w:w="5880" w:type="dxa"/>
            <w:vAlign w:val="bottom"/>
            <w:tcBorders>
              <w:bottom w:val="single" w:sz="8" w:color="FDF5E7"/>
            </w:tcBorders>
            <w:shd w:val="clear" w:color="auto" w:fill="FDF5E7"/>
          </w:tcPr>
          <w:p>
            <w:pPr>
              <w:spacing w:after="0"/>
              <w:rPr>
                <w:sz w:val="14"/>
                <w:szCs w:val="14"/>
                <w:color w:val="auto"/>
              </w:rPr>
            </w:pPr>
          </w:p>
        </w:tc>
        <w:tc>
          <w:tcPr>
            <w:tcW w:w="1640" w:type="dxa"/>
            <w:vAlign w:val="bottom"/>
            <w:tcBorders>
              <w:bottom w:val="single" w:sz="8" w:color="FDF5E7"/>
            </w:tcBorders>
            <w:shd w:val="clear" w:color="auto" w:fill="FDF5E7"/>
          </w:tcPr>
          <w:p>
            <w:pPr>
              <w:jc w:val="center"/>
              <w:ind w:left="438"/>
              <w:spacing w:after="0"/>
              <w:rPr>
                <w:sz w:val="20"/>
                <w:szCs w:val="20"/>
                <w:color w:val="auto"/>
              </w:rPr>
            </w:pPr>
            <w:r>
              <w:rPr>
                <w:rFonts w:ascii="Arial" w:cs="Arial" w:eastAsia="Arial" w:hAnsi="Arial"/>
                <w:sz w:val="12"/>
                <w:szCs w:val="12"/>
                <w:color w:val="3C3C3B"/>
                <w:w w:val="89"/>
              </w:rPr>
              <w:t>7</w:t>
            </w:r>
          </w:p>
        </w:tc>
        <w:tc>
          <w:tcPr>
            <w:tcW w:w="1340" w:type="dxa"/>
            <w:vAlign w:val="bottom"/>
            <w:tcBorders>
              <w:bottom w:val="single" w:sz="8" w:color="FDF5E7"/>
            </w:tcBorders>
            <w:shd w:val="clear" w:color="auto" w:fill="FDF5E7"/>
          </w:tcPr>
          <w:p>
            <w:pPr>
              <w:jc w:val="right"/>
              <w:ind w:right="38"/>
              <w:spacing w:after="0"/>
              <w:rPr>
                <w:sz w:val="20"/>
                <w:szCs w:val="20"/>
                <w:color w:val="auto"/>
              </w:rPr>
            </w:pPr>
            <w:r>
              <w:rPr>
                <w:rFonts w:ascii="Arial" w:cs="Arial" w:eastAsia="Arial" w:hAnsi="Arial"/>
                <w:sz w:val="12"/>
                <w:szCs w:val="12"/>
                <w:color w:val="auto"/>
              </w:rPr>
              <w:t>58,973</w:t>
            </w:r>
          </w:p>
        </w:tc>
        <w:tc>
          <w:tcPr>
            <w:tcW w:w="520" w:type="dxa"/>
            <w:vAlign w:val="bottom"/>
            <w:tcBorders>
              <w:bottom w:val="single" w:sz="8" w:color="FDF5E7"/>
            </w:tcBorders>
            <w:shd w:val="clear" w:color="auto" w:fill="FDF5E7"/>
          </w:tcPr>
          <w:p>
            <w:pPr>
              <w:spacing w:after="0"/>
              <w:rPr>
                <w:sz w:val="14"/>
                <w:szCs w:val="14"/>
                <w:color w:val="auto"/>
              </w:rPr>
            </w:pPr>
          </w:p>
        </w:tc>
        <w:tc>
          <w:tcPr>
            <w:tcW w:w="7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33,488</w:t>
            </w:r>
          </w:p>
        </w:tc>
      </w:tr>
      <w:tr>
        <w:trPr>
          <w:trHeight w:val="173"/>
        </w:trPr>
        <w:tc>
          <w:tcPr>
            <w:tcW w:w="1120" w:type="dxa"/>
            <w:vAlign w:val="bottom"/>
          </w:tcPr>
          <w:p>
            <w:pPr>
              <w:ind w:left="20"/>
              <w:spacing w:after="0"/>
              <w:rPr>
                <w:sz w:val="20"/>
                <w:szCs w:val="20"/>
                <w:color w:val="auto"/>
              </w:rPr>
            </w:pPr>
            <w:r>
              <w:rPr>
                <w:rFonts w:ascii="Arial" w:cs="Arial" w:eastAsia="Arial" w:hAnsi="Arial"/>
                <w:sz w:val="12"/>
                <w:szCs w:val="12"/>
                <w:color w:val="3C3C3B"/>
              </w:rPr>
              <w:t>Other income</w:t>
            </w:r>
          </w:p>
        </w:tc>
        <w:tc>
          <w:tcPr>
            <w:tcW w:w="5880" w:type="dxa"/>
            <w:vAlign w:val="bottom"/>
          </w:tcPr>
          <w:p>
            <w:pPr>
              <w:spacing w:after="0"/>
              <w:rPr>
                <w:sz w:val="15"/>
                <w:szCs w:val="15"/>
                <w:color w:val="auto"/>
              </w:rPr>
            </w:pPr>
          </w:p>
        </w:tc>
        <w:tc>
          <w:tcPr>
            <w:tcW w:w="1640" w:type="dxa"/>
            <w:vAlign w:val="bottom"/>
          </w:tcPr>
          <w:p>
            <w:pPr>
              <w:jc w:val="center"/>
              <w:ind w:left="438"/>
              <w:spacing w:after="0"/>
              <w:rPr>
                <w:sz w:val="20"/>
                <w:szCs w:val="20"/>
                <w:color w:val="auto"/>
              </w:rPr>
            </w:pPr>
            <w:r>
              <w:rPr>
                <w:rFonts w:ascii="Arial" w:cs="Arial" w:eastAsia="Arial" w:hAnsi="Arial"/>
                <w:sz w:val="12"/>
                <w:szCs w:val="12"/>
                <w:color w:val="3C3C3B"/>
                <w:w w:val="89"/>
              </w:rPr>
              <w:t>7</w:t>
            </w:r>
          </w:p>
        </w:tc>
        <w:tc>
          <w:tcPr>
            <w:tcW w:w="1340" w:type="dxa"/>
            <w:vAlign w:val="bottom"/>
          </w:tcPr>
          <w:p>
            <w:pPr>
              <w:jc w:val="right"/>
              <w:ind w:right="38"/>
              <w:spacing w:after="0"/>
              <w:rPr>
                <w:sz w:val="20"/>
                <w:szCs w:val="20"/>
                <w:color w:val="auto"/>
              </w:rPr>
            </w:pPr>
            <w:r>
              <w:rPr>
                <w:rFonts w:ascii="Arial" w:cs="Arial" w:eastAsia="Arial" w:hAnsi="Arial"/>
                <w:sz w:val="12"/>
                <w:szCs w:val="12"/>
                <w:color w:val="auto"/>
              </w:rPr>
              <w:t>2,226</w:t>
            </w:r>
          </w:p>
        </w:tc>
        <w:tc>
          <w:tcPr>
            <w:tcW w:w="5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2,182</w:t>
            </w:r>
          </w:p>
        </w:tc>
      </w:tr>
      <w:tr>
        <w:trPr>
          <w:trHeight w:val="26"/>
        </w:trPr>
        <w:tc>
          <w:tcPr>
            <w:tcW w:w="70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2"/>
        </w:trPr>
        <w:tc>
          <w:tcPr>
            <w:tcW w:w="700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3C3C3B"/>
              </w:rPr>
              <w:t>Revenues and other income</w:t>
            </w:r>
          </w:p>
        </w:tc>
        <w:tc>
          <w:tcPr>
            <w:tcW w:w="1640" w:type="dxa"/>
            <w:vAlign w:val="bottom"/>
          </w:tcPr>
          <w:p>
            <w:pPr>
              <w:spacing w:after="0"/>
              <w:rPr>
                <w:sz w:val="14"/>
                <w:szCs w:val="14"/>
                <w:color w:val="auto"/>
              </w:rPr>
            </w:pPr>
          </w:p>
        </w:tc>
        <w:tc>
          <w:tcPr>
            <w:tcW w:w="1340" w:type="dxa"/>
            <w:vAlign w:val="bottom"/>
          </w:tcPr>
          <w:p>
            <w:pPr>
              <w:jc w:val="right"/>
              <w:ind w:right="38"/>
              <w:spacing w:after="0"/>
              <w:rPr>
                <w:sz w:val="20"/>
                <w:szCs w:val="20"/>
                <w:color w:val="auto"/>
              </w:rPr>
            </w:pPr>
            <w:r>
              <w:rPr>
                <w:rFonts w:ascii="Arial" w:cs="Arial" w:eastAsia="Arial" w:hAnsi="Arial"/>
                <w:sz w:val="12"/>
                <w:szCs w:val="12"/>
                <w:b w:val="1"/>
                <w:bCs w:val="1"/>
                <w:i w:val="1"/>
                <w:iCs w:val="1"/>
                <w:color w:val="auto"/>
              </w:rPr>
              <w:t>61,199</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35,670</w:t>
            </w:r>
          </w:p>
        </w:tc>
      </w:tr>
      <w:tr>
        <w:trPr>
          <w:trHeight w:val="20"/>
        </w:trPr>
        <w:tc>
          <w:tcPr>
            <w:tcW w:w="7000" w:type="dxa"/>
            <w:vAlign w:val="bottom"/>
            <w:tcBorders>
              <w:bottom w:val="single" w:sz="8" w:color="auto"/>
            </w:tcBorders>
            <w:gridSpan w:val="2"/>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2"/>
        </w:trPr>
        <w:tc>
          <w:tcPr>
            <w:tcW w:w="7000" w:type="dxa"/>
            <w:vAlign w:val="bottom"/>
            <w:gridSpan w:val="2"/>
          </w:tcPr>
          <w:p>
            <w:pPr>
              <w:ind w:left="20"/>
              <w:spacing w:after="0"/>
              <w:rPr>
                <w:sz w:val="20"/>
                <w:szCs w:val="20"/>
                <w:color w:val="auto"/>
              </w:rPr>
            </w:pPr>
            <w:r>
              <w:rPr>
                <w:rFonts w:ascii="Arial" w:cs="Arial" w:eastAsia="Arial" w:hAnsi="Arial"/>
                <w:sz w:val="12"/>
                <w:szCs w:val="12"/>
                <w:b w:val="1"/>
                <w:bCs w:val="1"/>
                <w:color w:val="E99D25"/>
              </w:rPr>
              <w:t>Operating expenses and other operating income (expenses)</w:t>
            </w:r>
          </w:p>
        </w:tc>
        <w:tc>
          <w:tcPr>
            <w:tcW w:w="1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
        </w:trPr>
        <w:tc>
          <w:tcPr>
            <w:tcW w:w="7000" w:type="dxa"/>
            <w:vAlign w:val="bottom"/>
            <w:tcBorders>
              <w:bottom w:val="single" w:sz="8" w:color="E99D25"/>
            </w:tcBorders>
            <w:gridSpan w:val="2"/>
          </w:tcPr>
          <w:p>
            <w:pPr>
              <w:spacing w:after="0" w:line="20" w:lineRule="exact"/>
              <w:rPr>
                <w:sz w:val="1"/>
                <w:szCs w:val="1"/>
                <w:color w:val="auto"/>
              </w:rPr>
            </w:pPr>
          </w:p>
        </w:tc>
        <w:tc>
          <w:tcPr>
            <w:tcW w:w="1640" w:type="dxa"/>
            <w:vAlign w:val="bottom"/>
            <w:tcBorders>
              <w:bottom w:val="single" w:sz="8" w:color="E99D25"/>
            </w:tcBorders>
          </w:tcPr>
          <w:p>
            <w:pPr>
              <w:spacing w:after="0" w:line="20" w:lineRule="exact"/>
              <w:rPr>
                <w:sz w:val="1"/>
                <w:szCs w:val="1"/>
                <w:color w:val="auto"/>
              </w:rPr>
            </w:pPr>
          </w:p>
        </w:tc>
        <w:tc>
          <w:tcPr>
            <w:tcW w:w="1340" w:type="dxa"/>
            <w:vAlign w:val="bottom"/>
            <w:tcBorders>
              <w:bottom w:val="single" w:sz="8" w:color="E99D25"/>
            </w:tcBorders>
          </w:tcPr>
          <w:p>
            <w:pPr>
              <w:spacing w:after="0" w:line="20" w:lineRule="exact"/>
              <w:rPr>
                <w:sz w:val="1"/>
                <w:szCs w:val="1"/>
                <w:color w:val="auto"/>
              </w:rPr>
            </w:pPr>
          </w:p>
        </w:tc>
        <w:tc>
          <w:tcPr>
            <w:tcW w:w="520" w:type="dxa"/>
            <w:vAlign w:val="bottom"/>
            <w:tcBorders>
              <w:bottom w:val="single" w:sz="8" w:color="E99D25"/>
            </w:tcBorders>
          </w:tcPr>
          <w:p>
            <w:pPr>
              <w:spacing w:after="0" w:line="20" w:lineRule="exact"/>
              <w:rPr>
                <w:sz w:val="1"/>
                <w:szCs w:val="1"/>
                <w:color w:val="auto"/>
              </w:rPr>
            </w:pPr>
          </w:p>
        </w:tc>
        <w:tc>
          <w:tcPr>
            <w:tcW w:w="720" w:type="dxa"/>
            <w:vAlign w:val="bottom"/>
            <w:tcBorders>
              <w:bottom w:val="single" w:sz="8" w:color="E99D25"/>
            </w:tcBorders>
          </w:tcPr>
          <w:p>
            <w:pPr>
              <w:spacing w:after="0" w:line="20" w:lineRule="exact"/>
              <w:rPr>
                <w:sz w:val="1"/>
                <w:szCs w:val="1"/>
                <w:color w:val="auto"/>
              </w:rPr>
            </w:pPr>
          </w:p>
        </w:tc>
      </w:tr>
      <w:tr>
        <w:trPr>
          <w:trHeight w:val="172"/>
        </w:trPr>
        <w:tc>
          <w:tcPr>
            <w:tcW w:w="700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2"/>
                <w:szCs w:val="12"/>
                <w:color w:val="3C3C3B"/>
              </w:rPr>
              <w:t>Research and development expenses</w:t>
            </w:r>
          </w:p>
        </w:tc>
        <w:tc>
          <w:tcPr>
            <w:tcW w:w="1640" w:type="dxa"/>
            <w:vAlign w:val="bottom"/>
            <w:tcBorders>
              <w:bottom w:val="single" w:sz="8" w:color="FDF5E7"/>
            </w:tcBorders>
            <w:shd w:val="clear" w:color="auto" w:fill="FDF5E7"/>
          </w:tcPr>
          <w:p>
            <w:pPr>
              <w:jc w:val="center"/>
              <w:ind w:left="438"/>
              <w:spacing w:after="0"/>
              <w:rPr>
                <w:sz w:val="20"/>
                <w:szCs w:val="20"/>
                <w:color w:val="auto"/>
              </w:rPr>
            </w:pPr>
            <w:r>
              <w:rPr>
                <w:rFonts w:ascii="Arial" w:cs="Arial" w:eastAsia="Arial" w:hAnsi="Arial"/>
                <w:sz w:val="12"/>
                <w:szCs w:val="12"/>
                <w:color w:val="3C3C3B"/>
                <w:w w:val="89"/>
              </w:rPr>
              <w:t>8</w:t>
            </w:r>
          </w:p>
        </w:tc>
        <w:tc>
          <w:tcPr>
            <w:tcW w:w="1340" w:type="dxa"/>
            <w:vAlign w:val="bottom"/>
            <w:tcBorders>
              <w:bottom w:val="single" w:sz="8" w:color="FDF5E7"/>
            </w:tcBorders>
            <w:shd w:val="clear" w:color="auto" w:fill="FDF5E7"/>
          </w:tcPr>
          <w:p>
            <w:pPr>
              <w:jc w:val="right"/>
              <w:ind w:right="38"/>
              <w:spacing w:after="0"/>
              <w:rPr>
                <w:sz w:val="20"/>
                <w:szCs w:val="20"/>
                <w:color w:val="auto"/>
              </w:rPr>
            </w:pPr>
            <w:r>
              <w:rPr>
                <w:rFonts w:ascii="Arial" w:cs="Arial" w:eastAsia="Arial" w:hAnsi="Arial"/>
                <w:sz w:val="12"/>
                <w:szCs w:val="12"/>
                <w:color w:val="auto"/>
              </w:rPr>
              <w:t>(18,984)</w:t>
            </w:r>
          </w:p>
        </w:tc>
        <w:tc>
          <w:tcPr>
            <w:tcW w:w="520" w:type="dxa"/>
            <w:vAlign w:val="bottom"/>
            <w:tcBorders>
              <w:bottom w:val="single" w:sz="8" w:color="FDF5E7"/>
            </w:tcBorders>
            <w:shd w:val="clear" w:color="auto" w:fill="FDF5E7"/>
          </w:tcPr>
          <w:p>
            <w:pPr>
              <w:spacing w:after="0"/>
              <w:rPr>
                <w:sz w:val="14"/>
                <w:szCs w:val="14"/>
                <w:color w:val="auto"/>
              </w:rPr>
            </w:pPr>
          </w:p>
        </w:tc>
        <w:tc>
          <w:tcPr>
            <w:tcW w:w="7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(25,117)</w:t>
            </w:r>
          </w:p>
        </w:tc>
      </w:tr>
      <w:tr>
        <w:trPr>
          <w:trHeight w:val="173"/>
        </w:trPr>
        <w:tc>
          <w:tcPr>
            <w:tcW w:w="7000" w:type="dxa"/>
            <w:vAlign w:val="bottom"/>
            <w:gridSpan w:val="2"/>
          </w:tcPr>
          <w:p>
            <w:pPr>
              <w:ind w:left="20"/>
              <w:spacing w:after="0"/>
              <w:rPr>
                <w:sz w:val="20"/>
                <w:szCs w:val="20"/>
                <w:color w:val="auto"/>
              </w:rPr>
            </w:pPr>
            <w:r>
              <w:rPr>
                <w:rFonts w:ascii="Arial" w:cs="Arial" w:eastAsia="Arial" w:hAnsi="Arial"/>
                <w:sz w:val="12"/>
                <w:szCs w:val="12"/>
                <w:color w:val="3C3C3B"/>
              </w:rPr>
              <w:t>General and administrative expenses</w:t>
            </w:r>
          </w:p>
        </w:tc>
        <w:tc>
          <w:tcPr>
            <w:tcW w:w="1640" w:type="dxa"/>
            <w:vAlign w:val="bottom"/>
          </w:tcPr>
          <w:p>
            <w:pPr>
              <w:jc w:val="center"/>
              <w:ind w:left="438"/>
              <w:spacing w:after="0"/>
              <w:rPr>
                <w:sz w:val="20"/>
                <w:szCs w:val="20"/>
                <w:color w:val="auto"/>
              </w:rPr>
            </w:pPr>
            <w:r>
              <w:rPr>
                <w:rFonts w:ascii="Arial" w:cs="Arial" w:eastAsia="Arial" w:hAnsi="Arial"/>
                <w:sz w:val="12"/>
                <w:szCs w:val="12"/>
                <w:color w:val="3C3C3B"/>
                <w:w w:val="89"/>
              </w:rPr>
              <w:t>8</w:t>
            </w:r>
          </w:p>
        </w:tc>
        <w:tc>
          <w:tcPr>
            <w:tcW w:w="1340" w:type="dxa"/>
            <w:vAlign w:val="bottom"/>
          </w:tcPr>
          <w:p>
            <w:pPr>
              <w:jc w:val="right"/>
              <w:ind w:right="38"/>
              <w:spacing w:after="0"/>
              <w:rPr>
                <w:sz w:val="20"/>
                <w:szCs w:val="20"/>
                <w:color w:val="auto"/>
              </w:rPr>
            </w:pPr>
            <w:r>
              <w:rPr>
                <w:rFonts w:ascii="Arial" w:cs="Arial" w:eastAsia="Arial" w:hAnsi="Arial"/>
                <w:sz w:val="12"/>
                <w:szCs w:val="12"/>
                <w:color w:val="auto"/>
              </w:rPr>
              <w:t>(10,564)</w:t>
            </w:r>
          </w:p>
        </w:tc>
        <w:tc>
          <w:tcPr>
            <w:tcW w:w="5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(9,971)</w:t>
            </w:r>
          </w:p>
        </w:tc>
      </w:tr>
      <w:tr>
        <w:trPr>
          <w:trHeight w:val="26"/>
        </w:trPr>
        <w:tc>
          <w:tcPr>
            <w:tcW w:w="700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9"/>
        </w:trPr>
        <w:tc>
          <w:tcPr>
            <w:tcW w:w="700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2"/>
                <w:szCs w:val="12"/>
                <w:color w:val="3C3C3B"/>
              </w:rPr>
              <w:t>Marketing and market access expenses</w:t>
            </w:r>
          </w:p>
        </w:tc>
        <w:tc>
          <w:tcPr>
            <w:tcW w:w="1640" w:type="dxa"/>
            <w:vAlign w:val="bottom"/>
            <w:tcBorders>
              <w:bottom w:val="single" w:sz="8" w:color="FDF5E7"/>
            </w:tcBorders>
            <w:shd w:val="clear" w:color="auto" w:fill="FDF5E7"/>
          </w:tcPr>
          <w:p>
            <w:pPr>
              <w:jc w:val="center"/>
              <w:ind w:left="438"/>
              <w:spacing w:after="0"/>
              <w:rPr>
                <w:sz w:val="20"/>
                <w:szCs w:val="20"/>
                <w:color w:val="auto"/>
              </w:rPr>
            </w:pPr>
            <w:r>
              <w:rPr>
                <w:rFonts w:ascii="Arial" w:cs="Arial" w:eastAsia="Arial" w:hAnsi="Arial"/>
                <w:sz w:val="12"/>
                <w:szCs w:val="12"/>
                <w:color w:val="3C3C3B"/>
                <w:w w:val="89"/>
              </w:rPr>
              <w:t>8</w:t>
            </w:r>
          </w:p>
        </w:tc>
        <w:tc>
          <w:tcPr>
            <w:tcW w:w="1340" w:type="dxa"/>
            <w:vAlign w:val="bottom"/>
            <w:tcBorders>
              <w:bottom w:val="single" w:sz="8" w:color="FDF5E7"/>
            </w:tcBorders>
            <w:shd w:val="clear" w:color="auto" w:fill="FDF5E7"/>
          </w:tcPr>
          <w:p>
            <w:pPr>
              <w:jc w:val="right"/>
              <w:ind w:right="38"/>
              <w:spacing w:after="0"/>
              <w:rPr>
                <w:sz w:val="20"/>
                <w:szCs w:val="20"/>
                <w:color w:val="auto"/>
              </w:rPr>
            </w:pPr>
            <w:r>
              <w:rPr>
                <w:rFonts w:ascii="Arial" w:cs="Arial" w:eastAsia="Arial" w:hAnsi="Arial"/>
                <w:sz w:val="12"/>
                <w:szCs w:val="12"/>
                <w:color w:val="auto"/>
              </w:rPr>
              <w:t>(390)</w:t>
            </w:r>
          </w:p>
        </w:tc>
        <w:tc>
          <w:tcPr>
            <w:tcW w:w="520" w:type="dxa"/>
            <w:vAlign w:val="bottom"/>
            <w:tcBorders>
              <w:bottom w:val="single" w:sz="8" w:color="FDF5E7"/>
            </w:tcBorders>
            <w:shd w:val="clear" w:color="auto" w:fill="FDF5E7"/>
          </w:tcPr>
          <w:p>
            <w:pPr>
              <w:spacing w:after="0"/>
              <w:rPr>
                <w:sz w:val="15"/>
                <w:szCs w:val="15"/>
                <w:color w:val="auto"/>
              </w:rPr>
            </w:pPr>
          </w:p>
        </w:tc>
        <w:tc>
          <w:tcPr>
            <w:tcW w:w="7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(392)</w:t>
            </w:r>
          </w:p>
        </w:tc>
      </w:tr>
      <w:tr>
        <w:trPr>
          <w:trHeight w:val="173"/>
        </w:trPr>
        <w:tc>
          <w:tcPr>
            <w:tcW w:w="7000" w:type="dxa"/>
            <w:vAlign w:val="bottom"/>
            <w:gridSpan w:val="2"/>
          </w:tcPr>
          <w:p>
            <w:pPr>
              <w:ind w:left="20"/>
              <w:spacing w:after="0"/>
              <w:rPr>
                <w:sz w:val="20"/>
                <w:szCs w:val="20"/>
                <w:color w:val="auto"/>
              </w:rPr>
            </w:pPr>
            <w:r>
              <w:rPr>
                <w:rFonts w:ascii="Arial" w:cs="Arial" w:eastAsia="Arial" w:hAnsi="Arial"/>
                <w:sz w:val="12"/>
                <w:szCs w:val="12"/>
                <w:color w:val="3C3C3B"/>
              </w:rPr>
              <w:t>Other operating expenses</w:t>
            </w:r>
          </w:p>
        </w:tc>
        <w:tc>
          <w:tcPr>
            <w:tcW w:w="1640" w:type="dxa"/>
            <w:vAlign w:val="bottom"/>
          </w:tcPr>
          <w:p>
            <w:pPr>
              <w:jc w:val="center"/>
              <w:ind w:left="438"/>
              <w:spacing w:after="0"/>
              <w:rPr>
                <w:sz w:val="20"/>
                <w:szCs w:val="20"/>
                <w:color w:val="auto"/>
              </w:rPr>
            </w:pPr>
            <w:r>
              <w:rPr>
                <w:rFonts w:ascii="Arial" w:cs="Arial" w:eastAsia="Arial" w:hAnsi="Arial"/>
                <w:sz w:val="12"/>
                <w:szCs w:val="12"/>
                <w:color w:val="3C3C3B"/>
                <w:w w:val="89"/>
              </w:rPr>
              <w:t>8</w:t>
            </w:r>
          </w:p>
        </w:tc>
        <w:tc>
          <w:tcPr>
            <w:tcW w:w="1340" w:type="dxa"/>
            <w:vAlign w:val="bottom"/>
          </w:tcPr>
          <w:p>
            <w:pPr>
              <w:jc w:val="right"/>
              <w:ind w:right="38"/>
              <w:spacing w:after="0"/>
              <w:rPr>
                <w:sz w:val="20"/>
                <w:szCs w:val="20"/>
                <w:color w:val="auto"/>
              </w:rPr>
            </w:pPr>
            <w:r>
              <w:rPr>
                <w:rFonts w:ascii="Arial" w:cs="Arial" w:eastAsia="Arial" w:hAnsi="Arial"/>
                <w:sz w:val="12"/>
                <w:szCs w:val="12"/>
                <w:color w:val="auto"/>
              </w:rPr>
              <w:t>(39)</w:t>
            </w:r>
          </w:p>
        </w:tc>
        <w:tc>
          <w:tcPr>
            <w:tcW w:w="5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(115)</w:t>
            </w:r>
          </w:p>
        </w:tc>
      </w:tr>
      <w:tr>
        <w:trPr>
          <w:trHeight w:val="26"/>
        </w:trPr>
        <w:tc>
          <w:tcPr>
            <w:tcW w:w="7000" w:type="dxa"/>
            <w:vAlign w:val="bottom"/>
            <w:tcBorders>
              <w:bottom w:val="single" w:sz="8" w:color="E99D25"/>
            </w:tcBorders>
            <w:gridSpan w:val="2"/>
          </w:tcPr>
          <w:p>
            <w:pPr>
              <w:spacing w:after="0"/>
              <w:rPr>
                <w:sz w:val="2"/>
                <w:szCs w:val="2"/>
                <w:color w:val="auto"/>
              </w:rPr>
            </w:pPr>
          </w:p>
        </w:tc>
        <w:tc>
          <w:tcPr>
            <w:tcW w:w="1640" w:type="dxa"/>
            <w:vAlign w:val="bottom"/>
            <w:tcBorders>
              <w:bottom w:val="single" w:sz="8" w:color="E99D25"/>
            </w:tcBorders>
          </w:tcPr>
          <w:p>
            <w:pPr>
              <w:spacing w:after="0"/>
              <w:rPr>
                <w:sz w:val="2"/>
                <w:szCs w:val="2"/>
                <w:color w:val="auto"/>
              </w:rPr>
            </w:pPr>
          </w:p>
        </w:tc>
        <w:tc>
          <w:tcPr>
            <w:tcW w:w="1340" w:type="dxa"/>
            <w:vAlign w:val="bottom"/>
            <w:tcBorders>
              <w:bottom w:val="single" w:sz="8" w:color="E99D25"/>
            </w:tcBorders>
          </w:tcPr>
          <w:p>
            <w:pPr>
              <w:spacing w:after="0"/>
              <w:rPr>
                <w:sz w:val="2"/>
                <w:szCs w:val="2"/>
                <w:color w:val="auto"/>
              </w:rPr>
            </w:pPr>
          </w:p>
        </w:tc>
        <w:tc>
          <w:tcPr>
            <w:tcW w:w="520" w:type="dxa"/>
            <w:vAlign w:val="bottom"/>
            <w:tcBorders>
              <w:bottom w:val="single" w:sz="8" w:color="E99D25"/>
            </w:tcBorders>
          </w:tcPr>
          <w:p>
            <w:pPr>
              <w:spacing w:after="0"/>
              <w:rPr>
                <w:sz w:val="2"/>
                <w:szCs w:val="2"/>
                <w:color w:val="auto"/>
              </w:rPr>
            </w:pPr>
          </w:p>
        </w:tc>
        <w:tc>
          <w:tcPr>
            <w:tcW w:w="720" w:type="dxa"/>
            <w:vAlign w:val="bottom"/>
            <w:tcBorders>
              <w:bottom w:val="single" w:sz="8" w:color="E99D25"/>
            </w:tcBorders>
          </w:tcPr>
          <w:p>
            <w:pPr>
              <w:spacing w:after="0"/>
              <w:rPr>
                <w:sz w:val="2"/>
                <w:szCs w:val="2"/>
                <w:color w:val="auto"/>
              </w:rPr>
            </w:pPr>
          </w:p>
        </w:tc>
      </w:tr>
      <w:tr>
        <w:trPr>
          <w:trHeight w:val="172"/>
        </w:trPr>
        <w:tc>
          <w:tcPr>
            <w:tcW w:w="700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3C3C3B"/>
              </w:rPr>
              <w:t>Operating income (loss)</w:t>
            </w:r>
          </w:p>
        </w:tc>
        <w:tc>
          <w:tcPr>
            <w:tcW w:w="1640" w:type="dxa"/>
            <w:vAlign w:val="bottom"/>
          </w:tcPr>
          <w:p>
            <w:pPr>
              <w:spacing w:after="0"/>
              <w:rPr>
                <w:sz w:val="14"/>
                <w:szCs w:val="14"/>
                <w:color w:val="auto"/>
              </w:rPr>
            </w:pPr>
          </w:p>
        </w:tc>
        <w:tc>
          <w:tcPr>
            <w:tcW w:w="1340" w:type="dxa"/>
            <w:vAlign w:val="bottom"/>
          </w:tcPr>
          <w:p>
            <w:pPr>
              <w:jc w:val="right"/>
              <w:ind w:right="38"/>
              <w:spacing w:after="0"/>
              <w:rPr>
                <w:sz w:val="20"/>
                <w:szCs w:val="20"/>
                <w:color w:val="auto"/>
              </w:rPr>
            </w:pPr>
            <w:r>
              <w:rPr>
                <w:rFonts w:ascii="Arial" w:cs="Arial" w:eastAsia="Arial" w:hAnsi="Arial"/>
                <w:sz w:val="12"/>
                <w:szCs w:val="12"/>
                <w:b w:val="1"/>
                <w:bCs w:val="1"/>
                <w:i w:val="1"/>
                <w:iCs w:val="1"/>
                <w:color w:val="auto"/>
              </w:rPr>
              <w:t>31,222</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76</w:t>
            </w:r>
          </w:p>
        </w:tc>
      </w:tr>
      <w:tr>
        <w:trPr>
          <w:trHeight w:val="20"/>
        </w:trPr>
        <w:tc>
          <w:tcPr>
            <w:tcW w:w="1120" w:type="dxa"/>
            <w:vAlign w:val="bottom"/>
            <w:tcBorders>
              <w:bottom w:val="single" w:sz="8" w:color="E99D25"/>
            </w:tcBorders>
          </w:tcPr>
          <w:p>
            <w:pPr>
              <w:spacing w:after="0" w:line="20" w:lineRule="exact"/>
              <w:rPr>
                <w:sz w:val="1"/>
                <w:szCs w:val="1"/>
                <w:color w:val="auto"/>
              </w:rPr>
            </w:pPr>
          </w:p>
        </w:tc>
        <w:tc>
          <w:tcPr>
            <w:tcW w:w="5880" w:type="dxa"/>
            <w:vAlign w:val="bottom"/>
            <w:tcBorders>
              <w:bottom w:val="single" w:sz="8" w:color="E99D25"/>
            </w:tcBorders>
          </w:tcPr>
          <w:p>
            <w:pPr>
              <w:spacing w:after="0" w:line="20" w:lineRule="exact"/>
              <w:rPr>
                <w:sz w:val="1"/>
                <w:szCs w:val="1"/>
                <w:color w:val="auto"/>
              </w:rPr>
            </w:pPr>
          </w:p>
        </w:tc>
        <w:tc>
          <w:tcPr>
            <w:tcW w:w="1640" w:type="dxa"/>
            <w:vAlign w:val="bottom"/>
            <w:tcBorders>
              <w:bottom w:val="single" w:sz="8" w:color="E99D25"/>
            </w:tcBorders>
          </w:tcPr>
          <w:p>
            <w:pPr>
              <w:spacing w:after="0" w:line="20" w:lineRule="exact"/>
              <w:rPr>
                <w:sz w:val="1"/>
                <w:szCs w:val="1"/>
                <w:color w:val="auto"/>
              </w:rPr>
            </w:pPr>
          </w:p>
        </w:tc>
        <w:tc>
          <w:tcPr>
            <w:tcW w:w="1340" w:type="dxa"/>
            <w:vAlign w:val="bottom"/>
            <w:tcBorders>
              <w:bottom w:val="single" w:sz="8" w:color="E99D25"/>
            </w:tcBorders>
          </w:tcPr>
          <w:p>
            <w:pPr>
              <w:spacing w:after="0" w:line="20" w:lineRule="exact"/>
              <w:rPr>
                <w:sz w:val="1"/>
                <w:szCs w:val="1"/>
                <w:color w:val="auto"/>
              </w:rPr>
            </w:pPr>
          </w:p>
        </w:tc>
        <w:tc>
          <w:tcPr>
            <w:tcW w:w="520" w:type="dxa"/>
            <w:vAlign w:val="bottom"/>
            <w:tcBorders>
              <w:bottom w:val="single" w:sz="8" w:color="E99D25"/>
            </w:tcBorders>
          </w:tcPr>
          <w:p>
            <w:pPr>
              <w:spacing w:after="0" w:line="20" w:lineRule="exact"/>
              <w:rPr>
                <w:sz w:val="1"/>
                <w:szCs w:val="1"/>
                <w:color w:val="auto"/>
              </w:rPr>
            </w:pPr>
          </w:p>
        </w:tc>
        <w:tc>
          <w:tcPr>
            <w:tcW w:w="720" w:type="dxa"/>
            <w:vAlign w:val="bottom"/>
            <w:tcBorders>
              <w:bottom w:val="single" w:sz="8" w:color="E99D25"/>
            </w:tcBorders>
          </w:tcPr>
          <w:p>
            <w:pPr>
              <w:spacing w:after="0" w:line="20" w:lineRule="exact"/>
              <w:rPr>
                <w:sz w:val="1"/>
                <w:szCs w:val="1"/>
                <w:color w:val="auto"/>
              </w:rPr>
            </w:pPr>
          </w:p>
        </w:tc>
      </w:tr>
      <w:tr>
        <w:trPr>
          <w:trHeight w:val="172"/>
        </w:trPr>
        <w:tc>
          <w:tcPr>
            <w:tcW w:w="112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Financial income</w:t>
            </w:r>
          </w:p>
        </w:tc>
        <w:tc>
          <w:tcPr>
            <w:tcW w:w="5880" w:type="dxa"/>
            <w:vAlign w:val="bottom"/>
            <w:tcBorders>
              <w:bottom w:val="single" w:sz="8" w:color="FDF5E7"/>
            </w:tcBorders>
            <w:shd w:val="clear" w:color="auto" w:fill="FDF5E7"/>
          </w:tcPr>
          <w:p>
            <w:pPr>
              <w:spacing w:after="0"/>
              <w:rPr>
                <w:sz w:val="14"/>
                <w:szCs w:val="14"/>
                <w:color w:val="auto"/>
              </w:rPr>
            </w:pPr>
          </w:p>
        </w:tc>
        <w:tc>
          <w:tcPr>
            <w:tcW w:w="1640" w:type="dxa"/>
            <w:vAlign w:val="bottom"/>
            <w:tcBorders>
              <w:bottom w:val="single" w:sz="8" w:color="FDF5E7"/>
            </w:tcBorders>
            <w:shd w:val="clear" w:color="auto" w:fill="FDF5E7"/>
          </w:tcPr>
          <w:p>
            <w:pPr>
              <w:jc w:val="center"/>
              <w:ind w:left="438"/>
              <w:spacing w:after="0"/>
              <w:rPr>
                <w:sz w:val="20"/>
                <w:szCs w:val="20"/>
                <w:color w:val="auto"/>
              </w:rPr>
            </w:pPr>
            <w:r>
              <w:rPr>
                <w:rFonts w:ascii="Arial" w:cs="Arial" w:eastAsia="Arial" w:hAnsi="Arial"/>
                <w:sz w:val="12"/>
                <w:szCs w:val="12"/>
                <w:color w:val="3C3C3B"/>
                <w:w w:val="89"/>
              </w:rPr>
              <w:t>9</w:t>
            </w:r>
          </w:p>
        </w:tc>
        <w:tc>
          <w:tcPr>
            <w:tcW w:w="1340" w:type="dxa"/>
            <w:vAlign w:val="bottom"/>
            <w:tcBorders>
              <w:bottom w:val="single" w:sz="8" w:color="FDF5E7"/>
            </w:tcBorders>
            <w:shd w:val="clear" w:color="auto" w:fill="FDF5E7"/>
          </w:tcPr>
          <w:p>
            <w:pPr>
              <w:jc w:val="right"/>
              <w:ind w:right="38"/>
              <w:spacing w:after="0"/>
              <w:rPr>
                <w:sz w:val="20"/>
                <w:szCs w:val="20"/>
                <w:color w:val="auto"/>
              </w:rPr>
            </w:pPr>
            <w:r>
              <w:rPr>
                <w:rFonts w:ascii="Arial" w:cs="Arial" w:eastAsia="Arial" w:hAnsi="Arial"/>
                <w:sz w:val="12"/>
                <w:szCs w:val="12"/>
                <w:color w:val="auto"/>
              </w:rPr>
              <w:t>1,546</w:t>
            </w:r>
          </w:p>
        </w:tc>
        <w:tc>
          <w:tcPr>
            <w:tcW w:w="520" w:type="dxa"/>
            <w:vAlign w:val="bottom"/>
            <w:tcBorders>
              <w:bottom w:val="single" w:sz="8" w:color="FDF5E7"/>
            </w:tcBorders>
            <w:shd w:val="clear" w:color="auto" w:fill="FDF5E7"/>
          </w:tcPr>
          <w:p>
            <w:pPr>
              <w:spacing w:after="0"/>
              <w:rPr>
                <w:sz w:val="14"/>
                <w:szCs w:val="14"/>
                <w:color w:val="auto"/>
              </w:rPr>
            </w:pPr>
          </w:p>
        </w:tc>
        <w:tc>
          <w:tcPr>
            <w:tcW w:w="7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1,850</w:t>
            </w:r>
          </w:p>
        </w:tc>
      </w:tr>
      <w:tr>
        <w:trPr>
          <w:trHeight w:val="173"/>
        </w:trPr>
        <w:tc>
          <w:tcPr>
            <w:tcW w:w="1120" w:type="dxa"/>
            <w:vAlign w:val="bottom"/>
          </w:tcPr>
          <w:p>
            <w:pPr>
              <w:ind w:left="20"/>
              <w:spacing w:after="0"/>
              <w:rPr>
                <w:sz w:val="20"/>
                <w:szCs w:val="20"/>
                <w:color w:val="auto"/>
              </w:rPr>
            </w:pPr>
            <w:r>
              <w:rPr>
                <w:rFonts w:ascii="Arial" w:cs="Arial" w:eastAsia="Arial" w:hAnsi="Arial"/>
                <w:sz w:val="12"/>
                <w:szCs w:val="12"/>
                <w:color w:val="3C3C3B"/>
              </w:rPr>
              <w:t>Financial expenses</w:t>
            </w:r>
          </w:p>
        </w:tc>
        <w:tc>
          <w:tcPr>
            <w:tcW w:w="5880" w:type="dxa"/>
            <w:vAlign w:val="bottom"/>
          </w:tcPr>
          <w:p>
            <w:pPr>
              <w:spacing w:after="0"/>
              <w:rPr>
                <w:sz w:val="15"/>
                <w:szCs w:val="15"/>
                <w:color w:val="auto"/>
              </w:rPr>
            </w:pPr>
          </w:p>
        </w:tc>
        <w:tc>
          <w:tcPr>
            <w:tcW w:w="1640" w:type="dxa"/>
            <w:vAlign w:val="bottom"/>
          </w:tcPr>
          <w:p>
            <w:pPr>
              <w:jc w:val="center"/>
              <w:ind w:left="438"/>
              <w:spacing w:after="0"/>
              <w:rPr>
                <w:sz w:val="20"/>
                <w:szCs w:val="20"/>
                <w:color w:val="auto"/>
              </w:rPr>
            </w:pPr>
            <w:r>
              <w:rPr>
                <w:rFonts w:ascii="Arial" w:cs="Arial" w:eastAsia="Arial" w:hAnsi="Arial"/>
                <w:sz w:val="12"/>
                <w:szCs w:val="12"/>
                <w:color w:val="3C3C3B"/>
                <w:w w:val="89"/>
              </w:rPr>
              <w:t>9</w:t>
            </w:r>
          </w:p>
        </w:tc>
        <w:tc>
          <w:tcPr>
            <w:tcW w:w="1340" w:type="dxa"/>
            <w:vAlign w:val="bottom"/>
          </w:tcPr>
          <w:p>
            <w:pPr>
              <w:jc w:val="right"/>
              <w:ind w:right="38"/>
              <w:spacing w:after="0"/>
              <w:rPr>
                <w:sz w:val="20"/>
                <w:szCs w:val="20"/>
                <w:color w:val="auto"/>
              </w:rPr>
            </w:pPr>
            <w:r>
              <w:rPr>
                <w:rFonts w:ascii="Arial" w:cs="Arial" w:eastAsia="Arial" w:hAnsi="Arial"/>
                <w:sz w:val="12"/>
                <w:szCs w:val="12"/>
                <w:color w:val="auto"/>
              </w:rPr>
              <w:t>(2,419)</w:t>
            </w:r>
          </w:p>
        </w:tc>
        <w:tc>
          <w:tcPr>
            <w:tcW w:w="5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(12,027)</w:t>
            </w:r>
          </w:p>
        </w:tc>
      </w:tr>
      <w:tr>
        <w:trPr>
          <w:trHeight w:val="26"/>
        </w:trPr>
        <w:tc>
          <w:tcPr>
            <w:tcW w:w="70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2"/>
        </w:trPr>
        <w:tc>
          <w:tcPr>
            <w:tcW w:w="700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3C3C3B"/>
              </w:rPr>
              <w:t>Financial profit (loss)</w:t>
            </w:r>
          </w:p>
        </w:tc>
        <w:tc>
          <w:tcPr>
            <w:tcW w:w="1640" w:type="dxa"/>
            <w:vAlign w:val="bottom"/>
          </w:tcPr>
          <w:p>
            <w:pPr>
              <w:spacing w:after="0"/>
              <w:rPr>
                <w:sz w:val="14"/>
                <w:szCs w:val="14"/>
                <w:color w:val="auto"/>
              </w:rPr>
            </w:pPr>
          </w:p>
        </w:tc>
        <w:tc>
          <w:tcPr>
            <w:tcW w:w="1340" w:type="dxa"/>
            <w:vAlign w:val="bottom"/>
          </w:tcPr>
          <w:p>
            <w:pPr>
              <w:jc w:val="right"/>
              <w:ind w:right="38"/>
              <w:spacing w:after="0"/>
              <w:rPr>
                <w:sz w:val="20"/>
                <w:szCs w:val="20"/>
                <w:color w:val="auto"/>
              </w:rPr>
            </w:pPr>
            <w:r>
              <w:rPr>
                <w:rFonts w:ascii="Arial" w:cs="Arial" w:eastAsia="Arial" w:hAnsi="Arial"/>
                <w:sz w:val="12"/>
                <w:szCs w:val="12"/>
                <w:b w:val="1"/>
                <w:bCs w:val="1"/>
                <w:i w:val="1"/>
                <w:iCs w:val="1"/>
                <w:color w:val="auto"/>
              </w:rPr>
              <w:t>(873)</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(10,178)</w:t>
            </w:r>
          </w:p>
        </w:tc>
      </w:tr>
      <w:tr>
        <w:trPr>
          <w:trHeight w:val="20"/>
        </w:trPr>
        <w:tc>
          <w:tcPr>
            <w:tcW w:w="7000" w:type="dxa"/>
            <w:vAlign w:val="bottom"/>
            <w:tcBorders>
              <w:bottom w:val="single" w:sz="8" w:color="auto"/>
            </w:tcBorders>
            <w:gridSpan w:val="2"/>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2"/>
        </w:trPr>
        <w:tc>
          <w:tcPr>
            <w:tcW w:w="700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3C3C3B"/>
              </w:rPr>
              <w:t>Net profit (loss) before tax</w:t>
            </w:r>
          </w:p>
        </w:tc>
        <w:tc>
          <w:tcPr>
            <w:tcW w:w="1640" w:type="dxa"/>
            <w:vAlign w:val="bottom"/>
          </w:tcPr>
          <w:p>
            <w:pPr>
              <w:spacing w:after="0"/>
              <w:rPr>
                <w:sz w:val="14"/>
                <w:szCs w:val="14"/>
                <w:color w:val="auto"/>
              </w:rPr>
            </w:pPr>
          </w:p>
        </w:tc>
        <w:tc>
          <w:tcPr>
            <w:tcW w:w="1340" w:type="dxa"/>
            <w:vAlign w:val="bottom"/>
          </w:tcPr>
          <w:p>
            <w:pPr>
              <w:jc w:val="right"/>
              <w:ind w:right="38"/>
              <w:spacing w:after="0"/>
              <w:rPr>
                <w:sz w:val="20"/>
                <w:szCs w:val="20"/>
                <w:color w:val="auto"/>
              </w:rPr>
            </w:pPr>
            <w:r>
              <w:rPr>
                <w:rFonts w:ascii="Arial" w:cs="Arial" w:eastAsia="Arial" w:hAnsi="Arial"/>
                <w:sz w:val="12"/>
                <w:szCs w:val="12"/>
                <w:b w:val="1"/>
                <w:bCs w:val="1"/>
                <w:i w:val="1"/>
                <w:iCs w:val="1"/>
                <w:color w:val="auto"/>
              </w:rPr>
              <w:t>30,349</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(10,102)</w:t>
            </w:r>
          </w:p>
        </w:tc>
      </w:tr>
      <w:tr>
        <w:trPr>
          <w:trHeight w:val="20"/>
        </w:trPr>
        <w:tc>
          <w:tcPr>
            <w:tcW w:w="7000" w:type="dxa"/>
            <w:vAlign w:val="bottom"/>
            <w:tcBorders>
              <w:bottom w:val="single" w:sz="8" w:color="242424"/>
            </w:tcBorders>
            <w:gridSpan w:val="2"/>
          </w:tcPr>
          <w:p>
            <w:pPr>
              <w:spacing w:after="0" w:line="20" w:lineRule="exact"/>
              <w:rPr>
                <w:sz w:val="1"/>
                <w:szCs w:val="1"/>
                <w:color w:val="auto"/>
              </w:rPr>
            </w:pPr>
          </w:p>
        </w:tc>
        <w:tc>
          <w:tcPr>
            <w:tcW w:w="1640" w:type="dxa"/>
            <w:vAlign w:val="bottom"/>
            <w:tcBorders>
              <w:bottom w:val="single" w:sz="8" w:color="242424"/>
            </w:tcBorders>
          </w:tcPr>
          <w:p>
            <w:pPr>
              <w:spacing w:after="0" w:line="20" w:lineRule="exact"/>
              <w:rPr>
                <w:sz w:val="1"/>
                <w:szCs w:val="1"/>
                <w:color w:val="auto"/>
              </w:rPr>
            </w:pPr>
          </w:p>
        </w:tc>
        <w:tc>
          <w:tcPr>
            <w:tcW w:w="1340" w:type="dxa"/>
            <w:vAlign w:val="bottom"/>
            <w:tcBorders>
              <w:bottom w:val="single" w:sz="8" w:color="242424"/>
            </w:tcBorders>
          </w:tcPr>
          <w:p>
            <w:pPr>
              <w:spacing w:after="0" w:line="20" w:lineRule="exact"/>
              <w:rPr>
                <w:sz w:val="1"/>
                <w:szCs w:val="1"/>
                <w:color w:val="auto"/>
              </w:rPr>
            </w:pPr>
          </w:p>
        </w:tc>
        <w:tc>
          <w:tcPr>
            <w:tcW w:w="520" w:type="dxa"/>
            <w:vAlign w:val="bottom"/>
            <w:tcBorders>
              <w:bottom w:val="single" w:sz="8" w:color="242424"/>
            </w:tcBorders>
          </w:tcPr>
          <w:p>
            <w:pPr>
              <w:spacing w:after="0" w:line="20" w:lineRule="exact"/>
              <w:rPr>
                <w:sz w:val="1"/>
                <w:szCs w:val="1"/>
                <w:color w:val="auto"/>
              </w:rPr>
            </w:pPr>
          </w:p>
        </w:tc>
        <w:tc>
          <w:tcPr>
            <w:tcW w:w="720" w:type="dxa"/>
            <w:vAlign w:val="bottom"/>
            <w:tcBorders>
              <w:bottom w:val="single" w:sz="8" w:color="242424"/>
            </w:tcBorders>
          </w:tcPr>
          <w:p>
            <w:pPr>
              <w:spacing w:after="0" w:line="20" w:lineRule="exact"/>
              <w:rPr>
                <w:sz w:val="1"/>
                <w:szCs w:val="1"/>
                <w:color w:val="auto"/>
              </w:rPr>
            </w:pPr>
          </w:p>
        </w:tc>
      </w:tr>
      <w:tr>
        <w:trPr>
          <w:trHeight w:val="197"/>
        </w:trPr>
        <w:tc>
          <w:tcPr>
            <w:tcW w:w="700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2"/>
                <w:szCs w:val="12"/>
                <w:color w:val="3C3C3B"/>
              </w:rPr>
              <w:t>Income tax benefit (expense)</w:t>
            </w:r>
          </w:p>
        </w:tc>
        <w:tc>
          <w:tcPr>
            <w:tcW w:w="1640" w:type="dxa"/>
            <w:vAlign w:val="bottom"/>
            <w:tcBorders>
              <w:bottom w:val="single" w:sz="8" w:color="FDF5E7"/>
            </w:tcBorders>
            <w:shd w:val="clear" w:color="auto" w:fill="FDF5E7"/>
          </w:tcPr>
          <w:p>
            <w:pPr>
              <w:jc w:val="center"/>
              <w:ind w:left="438"/>
              <w:spacing w:after="0"/>
              <w:rPr>
                <w:sz w:val="20"/>
                <w:szCs w:val="20"/>
                <w:color w:val="auto"/>
              </w:rPr>
            </w:pPr>
            <w:r>
              <w:rPr>
                <w:rFonts w:ascii="Arial" w:cs="Arial" w:eastAsia="Arial" w:hAnsi="Arial"/>
                <w:sz w:val="12"/>
                <w:szCs w:val="12"/>
                <w:color w:val="3C3C3B"/>
              </w:rPr>
              <w:t>10</w:t>
            </w:r>
          </w:p>
        </w:tc>
        <w:tc>
          <w:tcPr>
            <w:tcW w:w="1340" w:type="dxa"/>
            <w:vAlign w:val="bottom"/>
            <w:tcBorders>
              <w:bottom w:val="single" w:sz="8" w:color="FDF5E7"/>
            </w:tcBorders>
            <w:shd w:val="clear" w:color="auto" w:fill="FDF5E7"/>
          </w:tcPr>
          <w:p>
            <w:pPr>
              <w:jc w:val="right"/>
              <w:ind w:right="38"/>
              <w:spacing w:after="0"/>
              <w:rPr>
                <w:sz w:val="20"/>
                <w:szCs w:val="20"/>
                <w:color w:val="auto"/>
              </w:rPr>
            </w:pPr>
            <w:r>
              <w:rPr>
                <w:rFonts w:ascii="Arial" w:cs="Arial" w:eastAsia="Arial" w:hAnsi="Arial"/>
                <w:sz w:val="12"/>
                <w:szCs w:val="12"/>
                <w:color w:val="auto"/>
              </w:rPr>
              <w:t>(39)</w:t>
            </w:r>
          </w:p>
        </w:tc>
        <w:tc>
          <w:tcPr>
            <w:tcW w:w="520" w:type="dxa"/>
            <w:vAlign w:val="bottom"/>
            <w:tcBorders>
              <w:bottom w:val="single" w:sz="8" w:color="FDF5E7"/>
            </w:tcBorders>
            <w:shd w:val="clear" w:color="auto" w:fill="FDF5E7"/>
          </w:tcPr>
          <w:p>
            <w:pPr>
              <w:spacing w:after="0"/>
              <w:rPr>
                <w:sz w:val="16"/>
                <w:szCs w:val="16"/>
                <w:color w:val="auto"/>
              </w:rPr>
            </w:pPr>
          </w:p>
        </w:tc>
        <w:tc>
          <w:tcPr>
            <w:tcW w:w="7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146</w:t>
            </w:r>
          </w:p>
        </w:tc>
      </w:tr>
      <w:tr>
        <w:trPr>
          <w:trHeight w:val="172"/>
        </w:trPr>
        <w:tc>
          <w:tcPr>
            <w:tcW w:w="112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E99D25"/>
              </w:rPr>
              <w:t>Net profit (loss)</w:t>
            </w:r>
          </w:p>
        </w:tc>
        <w:tc>
          <w:tcPr>
            <w:tcW w:w="58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b w:val="1"/>
                <w:bCs w:val="1"/>
                <w:color w:val="E99D25"/>
              </w:rPr>
              <w:t>30,311</w:t>
            </w:r>
          </w:p>
        </w:tc>
        <w:tc>
          <w:tcPr>
            <w:tcW w:w="5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E99D25"/>
              </w:rPr>
              <w:t>(9,956)</w:t>
            </w:r>
          </w:p>
        </w:tc>
      </w:tr>
      <w:tr>
        <w:trPr>
          <w:trHeight w:val="20"/>
        </w:trPr>
        <w:tc>
          <w:tcPr>
            <w:tcW w:w="7000" w:type="dxa"/>
            <w:vAlign w:val="bottom"/>
            <w:tcBorders>
              <w:bottom w:val="single" w:sz="8" w:color="auto"/>
            </w:tcBorders>
            <w:gridSpan w:val="2"/>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2"/>
        </w:trPr>
        <w:tc>
          <w:tcPr>
            <w:tcW w:w="7000" w:type="dxa"/>
            <w:vAlign w:val="bottom"/>
            <w:gridSpan w:val="2"/>
          </w:tcPr>
          <w:p>
            <w:pPr>
              <w:ind w:left="20"/>
              <w:spacing w:after="0"/>
              <w:rPr>
                <w:sz w:val="20"/>
                <w:szCs w:val="20"/>
                <w:color w:val="auto"/>
              </w:rPr>
            </w:pPr>
            <w:r>
              <w:rPr>
                <w:rFonts w:ascii="Arial" w:cs="Arial" w:eastAsia="Arial" w:hAnsi="Arial"/>
                <w:sz w:val="12"/>
                <w:szCs w:val="12"/>
                <w:b w:val="1"/>
                <w:bCs w:val="1"/>
                <w:color w:val="E99D25"/>
              </w:rPr>
              <w:t>Basic and diluted earnings (loss) per share</w:t>
            </w:r>
          </w:p>
        </w:tc>
        <w:tc>
          <w:tcPr>
            <w:tcW w:w="1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
        </w:trPr>
        <w:tc>
          <w:tcPr>
            <w:tcW w:w="7000" w:type="dxa"/>
            <w:vAlign w:val="bottom"/>
            <w:tcBorders>
              <w:bottom w:val="single" w:sz="8" w:color="auto"/>
            </w:tcBorders>
            <w:gridSpan w:val="2"/>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7"/>
        </w:trPr>
        <w:tc>
          <w:tcPr>
            <w:tcW w:w="700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2"/>
                <w:szCs w:val="12"/>
                <w:color w:val="3C3C3B"/>
              </w:rPr>
              <w:t>Basic earnings (loss) per share (€/share)</w:t>
            </w:r>
          </w:p>
        </w:tc>
        <w:tc>
          <w:tcPr>
            <w:tcW w:w="1640" w:type="dxa"/>
            <w:vAlign w:val="bottom"/>
            <w:tcBorders>
              <w:bottom w:val="single" w:sz="8" w:color="FDF5E7"/>
            </w:tcBorders>
            <w:shd w:val="clear" w:color="auto" w:fill="FDF5E7"/>
          </w:tcPr>
          <w:p>
            <w:pPr>
              <w:jc w:val="center"/>
              <w:ind w:left="458"/>
              <w:spacing w:after="0"/>
              <w:rPr>
                <w:sz w:val="20"/>
                <w:szCs w:val="20"/>
                <w:color w:val="auto"/>
              </w:rPr>
            </w:pPr>
            <w:r>
              <w:rPr>
                <w:rFonts w:ascii="Arial" w:cs="Arial" w:eastAsia="Arial" w:hAnsi="Arial"/>
                <w:sz w:val="12"/>
                <w:szCs w:val="12"/>
                <w:color w:val="3C3C3B"/>
                <w:w w:val="89"/>
              </w:rPr>
              <w:t>11</w:t>
            </w:r>
          </w:p>
        </w:tc>
        <w:tc>
          <w:tcPr>
            <w:tcW w:w="1340" w:type="dxa"/>
            <w:vAlign w:val="bottom"/>
            <w:tcBorders>
              <w:bottom w:val="single" w:sz="8" w:color="FDF5E7"/>
            </w:tcBorders>
            <w:shd w:val="clear" w:color="auto" w:fill="FDF5E7"/>
          </w:tcPr>
          <w:p>
            <w:pPr>
              <w:jc w:val="right"/>
              <w:ind w:right="38"/>
              <w:spacing w:after="0"/>
              <w:rPr>
                <w:sz w:val="20"/>
                <w:szCs w:val="20"/>
                <w:color w:val="auto"/>
              </w:rPr>
            </w:pPr>
            <w:r>
              <w:rPr>
                <w:rFonts w:ascii="Arial" w:cs="Arial" w:eastAsia="Arial" w:hAnsi="Arial"/>
                <w:sz w:val="12"/>
                <w:szCs w:val="12"/>
                <w:color w:val="auto"/>
              </w:rPr>
              <w:t>0.61</w:t>
            </w:r>
          </w:p>
        </w:tc>
        <w:tc>
          <w:tcPr>
            <w:tcW w:w="520" w:type="dxa"/>
            <w:vAlign w:val="bottom"/>
            <w:tcBorders>
              <w:bottom w:val="single" w:sz="8" w:color="FDF5E7"/>
            </w:tcBorders>
            <w:shd w:val="clear" w:color="auto" w:fill="FDF5E7"/>
          </w:tcPr>
          <w:p>
            <w:pPr>
              <w:spacing w:after="0"/>
              <w:rPr>
                <w:sz w:val="16"/>
                <w:szCs w:val="16"/>
                <w:color w:val="auto"/>
              </w:rPr>
            </w:pPr>
          </w:p>
        </w:tc>
        <w:tc>
          <w:tcPr>
            <w:tcW w:w="7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(0.20)</w:t>
            </w:r>
          </w:p>
        </w:tc>
      </w:tr>
      <w:tr>
        <w:trPr>
          <w:trHeight w:val="166"/>
        </w:trPr>
        <w:tc>
          <w:tcPr>
            <w:tcW w:w="700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color w:val="3C3C3B"/>
              </w:rPr>
              <w:t>Diluted earnings (loss) per share (€/share)</w:t>
            </w:r>
          </w:p>
        </w:tc>
        <w:tc>
          <w:tcPr>
            <w:tcW w:w="1640" w:type="dxa"/>
            <w:vAlign w:val="bottom"/>
            <w:tcBorders>
              <w:top w:val="single" w:sz="8" w:color="auto"/>
            </w:tcBorders>
          </w:tcPr>
          <w:p>
            <w:pPr>
              <w:jc w:val="center"/>
              <w:ind w:left="458"/>
              <w:spacing w:after="0"/>
              <w:rPr>
                <w:sz w:val="20"/>
                <w:szCs w:val="20"/>
                <w:color w:val="auto"/>
              </w:rPr>
            </w:pPr>
            <w:r>
              <w:rPr>
                <w:rFonts w:ascii="Arial" w:cs="Arial" w:eastAsia="Arial" w:hAnsi="Arial"/>
                <w:sz w:val="12"/>
                <w:szCs w:val="12"/>
                <w:color w:val="3C3C3B"/>
                <w:w w:val="89"/>
              </w:rPr>
              <w:t>11</w:t>
            </w:r>
          </w:p>
        </w:tc>
        <w:tc>
          <w:tcPr>
            <w:tcW w:w="134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0.53</w:t>
            </w:r>
          </w:p>
        </w:tc>
        <w:tc>
          <w:tcPr>
            <w:tcW w:w="5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(0.20)</w:t>
            </w:r>
          </w:p>
        </w:tc>
      </w:tr>
      <w:tr>
        <w:trPr>
          <w:trHeight w:val="26"/>
        </w:trPr>
        <w:tc>
          <w:tcPr>
            <w:tcW w:w="1120" w:type="dxa"/>
            <w:vAlign w:val="bottom"/>
            <w:tcBorders>
              <w:bottom w:val="single" w:sz="8" w:color="auto"/>
            </w:tcBorders>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
        <w:spacing w:after="0"/>
        <w:tabs>
          <w:tab w:leader="none" w:pos="1160" w:val="left"/>
        </w:tabs>
        <w:rPr>
          <w:sz w:val="20"/>
          <w:szCs w:val="20"/>
          <w:color w:val="auto"/>
        </w:rPr>
      </w:pPr>
      <w:r>
        <w:rPr>
          <w:rFonts w:ascii="Arial" w:cs="Arial" w:eastAsia="Arial" w:hAnsi="Arial"/>
          <w:sz w:val="28"/>
          <w:szCs w:val="28"/>
          <w:color w:val="57879D"/>
        </w:rPr>
        <w:t>3.3</w:t>
      </w:r>
      <w:r>
        <w:rPr>
          <w:sz w:val="20"/>
          <w:szCs w:val="20"/>
          <w:color w:val="auto"/>
        </w:rPr>
        <w:tab/>
      </w:r>
      <w:r>
        <w:rPr>
          <w:rFonts w:ascii="Arial" w:cs="Arial" w:eastAsia="Arial" w:hAnsi="Arial"/>
          <w:sz w:val="28"/>
          <w:szCs w:val="28"/>
          <w:color w:val="57879D"/>
        </w:rPr>
        <w:t>Consolidated Statements of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71266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3C3C3B"/>
              </w:rPr>
              <w:t>Notes</w:t>
            </w:r>
          </w:p>
        </w:tc>
        <w:tc>
          <w:tcPr>
            <w:tcW w:w="2500" w:type="dxa"/>
            <w:vAlign w:val="bottom"/>
          </w:tcPr>
          <w:p>
            <w:pPr>
              <w:jc w:val="right"/>
              <w:ind w:right="258"/>
              <w:spacing w:after="0"/>
              <w:rPr>
                <w:sz w:val="20"/>
                <w:szCs w:val="20"/>
                <w:color w:val="auto"/>
              </w:rPr>
            </w:pPr>
            <w:r>
              <w:rPr>
                <w:rFonts w:ascii="Arial" w:cs="Arial" w:eastAsia="Arial" w:hAnsi="Arial"/>
                <w:sz w:val="12"/>
                <w:szCs w:val="12"/>
                <w:b w:val="1"/>
                <w:bCs w:val="1"/>
                <w:color w:val="3C3C3B"/>
              </w:rPr>
              <w:t>Half-year ended</w:t>
            </w:r>
          </w:p>
        </w:tc>
        <w:tc>
          <w:tcPr>
            <w:tcW w:w="940" w:type="dxa"/>
            <w:vAlign w:val="bottom"/>
          </w:tcPr>
          <w:p>
            <w:pPr>
              <w:spacing w:after="0"/>
              <w:rPr>
                <w:sz w:val="14"/>
                <w:szCs w:val="14"/>
                <w:color w:val="auto"/>
              </w:rPr>
            </w:pPr>
          </w:p>
        </w:tc>
      </w:tr>
      <w:tr>
        <w:trPr>
          <w:trHeight w:val="20"/>
        </w:trPr>
        <w:tc>
          <w:tcPr>
            <w:tcW w:w="6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2"/>
        </w:trPr>
        <w:tc>
          <w:tcPr>
            <w:tcW w:w="664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1140" w:type="dxa"/>
            <w:vAlign w:val="bottom"/>
          </w:tcPr>
          <w:p>
            <w:pPr>
              <w:spacing w:after="0"/>
              <w:rPr>
                <w:sz w:val="14"/>
                <w:szCs w:val="14"/>
                <w:color w:val="auto"/>
              </w:rPr>
            </w:pPr>
          </w:p>
        </w:tc>
        <w:tc>
          <w:tcPr>
            <w:tcW w:w="2500" w:type="dxa"/>
            <w:vAlign w:val="bottom"/>
          </w:tcPr>
          <w:p>
            <w:pPr>
              <w:jc w:val="right"/>
              <w:ind w:right="778"/>
              <w:spacing w:after="0"/>
              <w:rPr>
                <w:sz w:val="20"/>
                <w:szCs w:val="20"/>
                <w:color w:val="auto"/>
              </w:rPr>
            </w:pPr>
            <w:r>
              <w:rPr>
                <w:rFonts w:ascii="Arial" w:cs="Arial" w:eastAsia="Arial" w:hAnsi="Arial"/>
                <w:sz w:val="12"/>
                <w:szCs w:val="12"/>
                <w:b w:val="1"/>
                <w:bCs w:val="1"/>
                <w:color w:val="3C3C3B"/>
              </w:rPr>
              <w:t>2024/06/30</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242424"/>
            </w:tcBorders>
          </w:tcPr>
          <w:p>
            <w:pPr>
              <w:spacing w:after="0" w:line="20" w:lineRule="exact"/>
              <w:rPr>
                <w:sz w:val="1"/>
                <w:szCs w:val="1"/>
                <w:color w:val="auto"/>
              </w:rPr>
            </w:pPr>
          </w:p>
        </w:tc>
        <w:tc>
          <w:tcPr>
            <w:tcW w:w="2500" w:type="dxa"/>
            <w:vAlign w:val="bottom"/>
            <w:tcBorders>
              <w:bottom w:val="single" w:sz="8" w:color="242424"/>
            </w:tcBorders>
          </w:tcPr>
          <w:p>
            <w:pPr>
              <w:spacing w:after="0" w:line="20" w:lineRule="exact"/>
              <w:rPr>
                <w:sz w:val="1"/>
                <w:szCs w:val="1"/>
                <w:color w:val="auto"/>
              </w:rPr>
            </w:pPr>
          </w:p>
        </w:tc>
        <w:tc>
          <w:tcPr>
            <w:tcW w:w="940" w:type="dxa"/>
            <w:vAlign w:val="bottom"/>
            <w:tcBorders>
              <w:bottom w:val="single" w:sz="8" w:color="242424"/>
            </w:tcBorders>
          </w:tcPr>
          <w:p>
            <w:pPr>
              <w:spacing w:after="0" w:line="20" w:lineRule="exact"/>
              <w:rPr>
                <w:sz w:val="1"/>
                <w:szCs w:val="1"/>
                <w:color w:val="auto"/>
              </w:rPr>
            </w:pPr>
          </w:p>
        </w:tc>
      </w:tr>
      <w:tr>
        <w:trPr>
          <w:trHeight w:val="172"/>
        </w:trPr>
        <w:tc>
          <w:tcPr>
            <w:tcW w:w="6640" w:type="dxa"/>
            <w:vAlign w:val="bottom"/>
          </w:tcPr>
          <w:p>
            <w:pPr>
              <w:ind w:left="20"/>
              <w:spacing w:after="0"/>
              <w:rPr>
                <w:sz w:val="20"/>
                <w:szCs w:val="20"/>
                <w:color w:val="auto"/>
              </w:rPr>
            </w:pPr>
            <w:r>
              <w:rPr>
                <w:rFonts w:ascii="Arial" w:cs="Arial" w:eastAsia="Arial" w:hAnsi="Arial"/>
                <w:sz w:val="12"/>
                <w:szCs w:val="12"/>
                <w:b w:val="1"/>
                <w:bCs w:val="1"/>
                <w:color w:val="E99D25"/>
              </w:rPr>
              <w:t>Net profit (loss)</w:t>
            </w:r>
          </w:p>
        </w:tc>
        <w:tc>
          <w:tcPr>
            <w:tcW w:w="1140" w:type="dxa"/>
            <w:vAlign w:val="bottom"/>
          </w:tcPr>
          <w:p>
            <w:pPr>
              <w:spacing w:after="0"/>
              <w:rPr>
                <w:sz w:val="14"/>
                <w:szCs w:val="14"/>
                <w:color w:val="auto"/>
              </w:rPr>
            </w:pPr>
          </w:p>
        </w:tc>
        <w:tc>
          <w:tcPr>
            <w:tcW w:w="2500" w:type="dxa"/>
            <w:vAlign w:val="bottom"/>
          </w:tcPr>
          <w:p>
            <w:pPr>
              <w:jc w:val="right"/>
              <w:ind w:right="778"/>
              <w:spacing w:after="0"/>
              <w:rPr>
                <w:sz w:val="20"/>
                <w:szCs w:val="20"/>
                <w:color w:val="auto"/>
              </w:rPr>
            </w:pPr>
            <w:r>
              <w:rPr>
                <w:rFonts w:ascii="Arial" w:cs="Arial" w:eastAsia="Arial" w:hAnsi="Arial"/>
                <w:sz w:val="12"/>
                <w:szCs w:val="12"/>
                <w:b w:val="1"/>
                <w:bCs w:val="1"/>
                <w:color w:val="E99D25"/>
              </w:rPr>
              <w:t>30,311</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E99D25"/>
              </w:rPr>
              <w:t>(9,956)</w:t>
            </w: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Actuarial gains and losses net of tax</w:t>
            </w:r>
          </w:p>
        </w:tc>
        <w:tc>
          <w:tcPr>
            <w:tcW w:w="1140" w:type="dxa"/>
            <w:vAlign w:val="bottom"/>
            <w:tcBorders>
              <w:bottom w:val="single" w:sz="8" w:color="FDF5E7"/>
            </w:tcBorders>
            <w:shd w:val="clear" w:color="auto" w:fill="FDF5E7"/>
          </w:tcPr>
          <w:p>
            <w:pPr>
              <w:spacing w:after="0"/>
              <w:rPr>
                <w:sz w:val="16"/>
                <w:szCs w:val="16"/>
                <w:color w:val="auto"/>
              </w:rPr>
            </w:pPr>
          </w:p>
        </w:tc>
        <w:tc>
          <w:tcPr>
            <w:tcW w:w="2500" w:type="dxa"/>
            <w:vAlign w:val="bottom"/>
            <w:tcBorders>
              <w:bottom w:val="single" w:sz="8" w:color="FDF5E7"/>
            </w:tcBorders>
            <w:shd w:val="clear" w:color="auto" w:fill="FDF5E7"/>
          </w:tcPr>
          <w:p>
            <w:pPr>
              <w:jc w:val="right"/>
              <w:ind w:right="778"/>
              <w:spacing w:after="0"/>
              <w:rPr>
                <w:sz w:val="20"/>
                <w:szCs w:val="20"/>
                <w:color w:val="auto"/>
              </w:rPr>
            </w:pPr>
            <w:r>
              <w:rPr>
                <w:rFonts w:ascii="Arial" w:cs="Arial" w:eastAsia="Arial" w:hAnsi="Arial"/>
                <w:sz w:val="12"/>
                <w:szCs w:val="12"/>
                <w:color w:val="auto"/>
              </w:rPr>
              <w:t>46</w:t>
            </w: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104</w:t>
            </w:r>
          </w:p>
        </w:tc>
      </w:tr>
      <w:tr>
        <w:trPr>
          <w:trHeight w:val="166"/>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3C3C3B"/>
              </w:rPr>
              <w:t>Change in fair value of equity instruments included in financial assets and financial liabilities</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3C3C3B"/>
                <w:w w:val="89"/>
              </w:rPr>
              <w:t>16</w:t>
            </w:r>
          </w:p>
        </w:tc>
        <w:tc>
          <w:tcPr>
            <w:tcW w:w="2500" w:type="dxa"/>
            <w:vAlign w:val="bottom"/>
            <w:tcBorders>
              <w:top w:val="single" w:sz="8" w:color="auto"/>
            </w:tcBorders>
          </w:tcPr>
          <w:p>
            <w:pPr>
              <w:jc w:val="right"/>
              <w:ind w:right="778"/>
              <w:spacing w:after="0"/>
              <w:rPr>
                <w:sz w:val="20"/>
                <w:szCs w:val="20"/>
                <w:color w:val="auto"/>
              </w:rPr>
            </w:pPr>
            <w:r>
              <w:rPr>
                <w:rFonts w:ascii="Arial" w:cs="Arial" w:eastAsia="Arial" w:hAnsi="Arial"/>
                <w:sz w:val="12"/>
                <w:szCs w:val="12"/>
                <w:color w:val="auto"/>
              </w:rPr>
              <w:t>(923)</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(114)</w:t>
            </w:r>
          </w:p>
        </w:tc>
      </w:tr>
      <w:tr>
        <w:trPr>
          <w:trHeight w:val="205"/>
        </w:trPr>
        <w:tc>
          <w:tcPr>
            <w:tcW w:w="6640" w:type="dxa"/>
            <w:vAlign w:val="bottom"/>
          </w:tcPr>
          <w:p>
            <w:pPr>
              <w:ind w:left="20"/>
              <w:spacing w:after="0"/>
              <w:rPr>
                <w:sz w:val="20"/>
                <w:szCs w:val="20"/>
                <w:color w:val="auto"/>
              </w:rPr>
            </w:pPr>
            <w:r>
              <w:rPr>
                <w:rFonts w:ascii="Arial" w:cs="Arial" w:eastAsia="Arial" w:hAnsi="Arial"/>
                <w:sz w:val="12"/>
                <w:szCs w:val="12"/>
                <w:b w:val="1"/>
                <w:bCs w:val="1"/>
                <w:i w:val="1"/>
                <w:iCs w:val="1"/>
                <w:color w:val="3C3C3B"/>
              </w:rPr>
              <w:t>Other comprehensive income (loss)</w:t>
            </w:r>
          </w:p>
        </w:tc>
        <w:tc>
          <w:tcPr>
            <w:tcW w:w="11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9"/>
        </w:trPr>
        <w:tc>
          <w:tcPr>
            <w:tcW w:w="6640" w:type="dxa"/>
            <w:vAlign w:val="bottom"/>
          </w:tcPr>
          <w:p>
            <w:pPr>
              <w:ind w:left="20"/>
              <w:spacing w:after="0"/>
              <w:rPr>
                <w:sz w:val="20"/>
                <w:szCs w:val="20"/>
                <w:color w:val="auto"/>
              </w:rPr>
            </w:pPr>
            <w:r>
              <w:rPr>
                <w:rFonts w:ascii="Arial" w:cs="Arial" w:eastAsia="Arial" w:hAnsi="Arial"/>
                <w:sz w:val="12"/>
                <w:szCs w:val="12"/>
                <w:b w:val="1"/>
                <w:bCs w:val="1"/>
                <w:i w:val="1"/>
                <w:iCs w:val="1"/>
                <w:color w:val="3C3C3B"/>
              </w:rPr>
              <w:t>that will never be reclassified to profit or loss</w:t>
            </w:r>
          </w:p>
        </w:tc>
        <w:tc>
          <w:tcPr>
            <w:tcW w:w="1140" w:type="dxa"/>
            <w:vAlign w:val="bottom"/>
          </w:tcPr>
          <w:p>
            <w:pPr>
              <w:spacing w:after="0"/>
              <w:rPr>
                <w:sz w:val="17"/>
                <w:szCs w:val="17"/>
                <w:color w:val="auto"/>
              </w:rPr>
            </w:pPr>
          </w:p>
        </w:tc>
        <w:tc>
          <w:tcPr>
            <w:tcW w:w="2500" w:type="dxa"/>
            <w:vAlign w:val="bottom"/>
          </w:tcPr>
          <w:p>
            <w:pPr>
              <w:jc w:val="right"/>
              <w:ind w:right="778"/>
              <w:spacing w:after="0"/>
              <w:rPr>
                <w:sz w:val="20"/>
                <w:szCs w:val="20"/>
                <w:color w:val="auto"/>
              </w:rPr>
            </w:pPr>
            <w:r>
              <w:rPr>
                <w:rFonts w:ascii="Arial" w:cs="Arial" w:eastAsia="Arial" w:hAnsi="Arial"/>
                <w:sz w:val="12"/>
                <w:szCs w:val="12"/>
                <w:b w:val="1"/>
                <w:bCs w:val="1"/>
                <w:i w:val="1"/>
                <w:iCs w:val="1"/>
                <w:color w:val="auto"/>
              </w:rPr>
              <w:t>(877)</w:t>
            </w:r>
          </w:p>
        </w:tc>
        <w:tc>
          <w:tcPr>
            <w:tcW w:w="9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(10)</w:t>
            </w: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2"/>
        </w:trPr>
        <w:tc>
          <w:tcPr>
            <w:tcW w:w="664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Exchange differences on translation of foreign operations</w:t>
            </w:r>
          </w:p>
        </w:tc>
        <w:tc>
          <w:tcPr>
            <w:tcW w:w="1140" w:type="dxa"/>
            <w:vAlign w:val="bottom"/>
            <w:tcBorders>
              <w:bottom w:val="single" w:sz="8" w:color="FDF5E7"/>
            </w:tcBorders>
            <w:shd w:val="clear" w:color="auto" w:fill="FDF5E7"/>
          </w:tcPr>
          <w:p>
            <w:pPr>
              <w:jc w:val="center"/>
              <w:spacing w:after="0"/>
              <w:rPr>
                <w:sz w:val="20"/>
                <w:szCs w:val="20"/>
                <w:color w:val="auto"/>
              </w:rPr>
            </w:pPr>
            <w:r>
              <w:rPr>
                <w:rFonts w:ascii="Arial" w:cs="Arial" w:eastAsia="Arial" w:hAnsi="Arial"/>
                <w:sz w:val="12"/>
                <w:szCs w:val="12"/>
                <w:color w:val="3C3C3B"/>
                <w:w w:val="89"/>
              </w:rPr>
              <w:t>20</w:t>
            </w:r>
          </w:p>
        </w:tc>
        <w:tc>
          <w:tcPr>
            <w:tcW w:w="2500" w:type="dxa"/>
            <w:vAlign w:val="bottom"/>
            <w:tcBorders>
              <w:bottom w:val="single" w:sz="8" w:color="FDF5E7"/>
            </w:tcBorders>
            <w:shd w:val="clear" w:color="auto" w:fill="FDF5E7"/>
          </w:tcPr>
          <w:p>
            <w:pPr>
              <w:jc w:val="right"/>
              <w:ind w:right="778"/>
              <w:spacing w:after="0"/>
              <w:rPr>
                <w:sz w:val="20"/>
                <w:szCs w:val="20"/>
                <w:color w:val="auto"/>
              </w:rPr>
            </w:pPr>
            <w:r>
              <w:rPr>
                <w:rFonts w:ascii="Arial" w:cs="Arial" w:eastAsia="Arial" w:hAnsi="Arial"/>
                <w:sz w:val="12"/>
                <w:szCs w:val="12"/>
                <w:color w:val="auto"/>
              </w:rPr>
              <w:t>(1,448)</w:t>
            </w: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(161)</w:t>
            </w:r>
          </w:p>
        </w:tc>
      </w:tr>
      <w:tr>
        <w:trPr>
          <w:trHeight w:val="178"/>
        </w:trPr>
        <w:tc>
          <w:tcPr>
            <w:tcW w:w="6640" w:type="dxa"/>
            <w:vAlign w:val="bottom"/>
          </w:tcPr>
          <w:p>
            <w:pPr>
              <w:ind w:left="20"/>
              <w:spacing w:after="0"/>
              <w:rPr>
                <w:sz w:val="20"/>
                <w:szCs w:val="20"/>
                <w:color w:val="auto"/>
              </w:rPr>
            </w:pPr>
            <w:r>
              <w:rPr>
                <w:rFonts w:ascii="Arial" w:cs="Arial" w:eastAsia="Arial" w:hAnsi="Arial"/>
                <w:sz w:val="12"/>
                <w:szCs w:val="12"/>
                <w:b w:val="1"/>
                <w:bCs w:val="1"/>
                <w:i w:val="1"/>
                <w:iCs w:val="1"/>
                <w:color w:val="3C3C3B"/>
              </w:rPr>
              <w:t>Other comprehensive income (loss)</w:t>
            </w:r>
          </w:p>
        </w:tc>
        <w:tc>
          <w:tcPr>
            <w:tcW w:w="11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9"/>
        </w:trPr>
        <w:tc>
          <w:tcPr>
            <w:tcW w:w="6640" w:type="dxa"/>
            <w:vAlign w:val="bottom"/>
          </w:tcPr>
          <w:p>
            <w:pPr>
              <w:ind w:left="20"/>
              <w:spacing w:after="0"/>
              <w:rPr>
                <w:sz w:val="20"/>
                <w:szCs w:val="20"/>
                <w:color w:val="auto"/>
              </w:rPr>
            </w:pPr>
            <w:r>
              <w:rPr>
                <w:rFonts w:ascii="Arial" w:cs="Arial" w:eastAsia="Arial" w:hAnsi="Arial"/>
                <w:sz w:val="12"/>
                <w:szCs w:val="12"/>
                <w:b w:val="1"/>
                <w:bCs w:val="1"/>
                <w:i w:val="1"/>
                <w:iCs w:val="1"/>
                <w:color w:val="3C3C3B"/>
              </w:rPr>
              <w:t>that are or may be reclassified to profit or loss</w:t>
            </w:r>
          </w:p>
        </w:tc>
        <w:tc>
          <w:tcPr>
            <w:tcW w:w="1140" w:type="dxa"/>
            <w:vAlign w:val="bottom"/>
          </w:tcPr>
          <w:p>
            <w:pPr>
              <w:spacing w:after="0"/>
              <w:rPr>
                <w:sz w:val="17"/>
                <w:szCs w:val="17"/>
                <w:color w:val="auto"/>
              </w:rPr>
            </w:pPr>
          </w:p>
        </w:tc>
        <w:tc>
          <w:tcPr>
            <w:tcW w:w="2500" w:type="dxa"/>
            <w:vAlign w:val="bottom"/>
          </w:tcPr>
          <w:p>
            <w:pPr>
              <w:jc w:val="right"/>
              <w:ind w:right="778"/>
              <w:spacing w:after="0"/>
              <w:rPr>
                <w:sz w:val="20"/>
                <w:szCs w:val="20"/>
                <w:color w:val="auto"/>
              </w:rPr>
            </w:pPr>
            <w:r>
              <w:rPr>
                <w:rFonts w:ascii="Arial" w:cs="Arial" w:eastAsia="Arial" w:hAnsi="Arial"/>
                <w:sz w:val="12"/>
                <w:szCs w:val="12"/>
                <w:b w:val="1"/>
                <w:bCs w:val="1"/>
                <w:i w:val="1"/>
                <w:iCs w:val="1"/>
                <w:color w:val="auto"/>
              </w:rPr>
              <w:t>(1,448)</w:t>
            </w:r>
          </w:p>
        </w:tc>
        <w:tc>
          <w:tcPr>
            <w:tcW w:w="9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(161)</w:t>
            </w: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2"/>
        </w:trPr>
        <w:tc>
          <w:tcPr>
            <w:tcW w:w="6640" w:type="dxa"/>
            <w:vAlign w:val="bottom"/>
          </w:tcPr>
          <w:p>
            <w:pPr>
              <w:ind w:left="20"/>
              <w:spacing w:after="0"/>
              <w:rPr>
                <w:sz w:val="20"/>
                <w:szCs w:val="20"/>
                <w:color w:val="auto"/>
              </w:rPr>
            </w:pPr>
            <w:r>
              <w:rPr>
                <w:rFonts w:ascii="Arial" w:cs="Arial" w:eastAsia="Arial" w:hAnsi="Arial"/>
                <w:sz w:val="12"/>
                <w:szCs w:val="12"/>
                <w:b w:val="1"/>
                <w:bCs w:val="1"/>
                <w:color w:val="E99D25"/>
              </w:rPr>
              <w:t>Total comprehensive income (loss)</w:t>
            </w:r>
          </w:p>
        </w:tc>
        <w:tc>
          <w:tcPr>
            <w:tcW w:w="1140" w:type="dxa"/>
            <w:vAlign w:val="bottom"/>
          </w:tcPr>
          <w:p>
            <w:pPr>
              <w:spacing w:after="0"/>
              <w:rPr>
                <w:sz w:val="14"/>
                <w:szCs w:val="14"/>
                <w:color w:val="auto"/>
              </w:rPr>
            </w:pPr>
          </w:p>
        </w:tc>
        <w:tc>
          <w:tcPr>
            <w:tcW w:w="2500" w:type="dxa"/>
            <w:vAlign w:val="bottom"/>
          </w:tcPr>
          <w:p>
            <w:pPr>
              <w:jc w:val="right"/>
              <w:ind w:right="778"/>
              <w:spacing w:after="0"/>
              <w:rPr>
                <w:sz w:val="20"/>
                <w:szCs w:val="20"/>
                <w:color w:val="auto"/>
              </w:rPr>
            </w:pPr>
            <w:r>
              <w:rPr>
                <w:rFonts w:ascii="Arial" w:cs="Arial" w:eastAsia="Arial" w:hAnsi="Arial"/>
                <w:sz w:val="12"/>
                <w:szCs w:val="12"/>
                <w:b w:val="1"/>
                <w:bCs w:val="1"/>
                <w:color w:val="E99D25"/>
              </w:rPr>
              <w:t>27,986</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E99D25"/>
              </w:rPr>
              <w:t>(10,127)</w:t>
            </w: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accompanying notes form an integral part of these consolidated financial statements.</w:t>
      </w:r>
    </w:p>
    <w:p>
      <w:pPr>
        <w:spacing w:after="0" w:line="322" w:lineRule="exact"/>
        <w:rPr>
          <w:sz w:val="20"/>
          <w:szCs w:val="20"/>
          <w:color w:val="auto"/>
        </w:rPr>
      </w:pPr>
    </w:p>
    <w:tbl>
      <w:tblPr>
        <w:tblLayout w:type="fixed"/>
        <w:tblInd w:w="2830" w:type="dxa"/>
        <w:tblCellMar>
          <w:top w:w="0" w:type="dxa"/>
          <w:left w:w="0" w:type="dxa"/>
          <w:bottom w:w="0" w:type="dxa"/>
          <w:right w:w="0" w:type="dxa"/>
        </w:tblCellMar>
      </w:tblPr>
      <w:tr>
        <w:trPr>
          <w:trHeight w:val="146"/>
        </w:trPr>
        <w:tc>
          <w:tcPr>
            <w:tcW w:w="7880" w:type="dxa"/>
            <w:vAlign w:val="bottom"/>
            <w:tcBorders>
              <w:left w:val="single" w:sz="8" w:color="57879D"/>
            </w:tcBorders>
            <w:vMerge w:val="restart"/>
          </w:tcPr>
          <w:p>
            <w:pPr>
              <w:ind w:left="40"/>
              <w:spacing w:after="0"/>
              <w:rPr>
                <w:sz w:val="20"/>
                <w:szCs w:val="20"/>
                <w:color w:val="auto"/>
              </w:rPr>
            </w:pPr>
            <w:r>
              <w:rPr>
                <w:rFonts w:ascii="Arial" w:cs="Arial" w:eastAsia="Arial" w:hAnsi="Arial"/>
                <w:sz w:val="15"/>
                <w:szCs w:val="15"/>
                <w:color w:val="3C3C3B"/>
              </w:rPr>
              <w:t>Half-Year Business and Financial Report at June 30, 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7880" w:type="dxa"/>
            <w:vAlign w:val="bottom"/>
            <w:tcBorders>
              <w:left w:val="single" w:sz="8" w:color="57879D"/>
            </w:tcBorders>
            <w:vMerge w:val="continue"/>
          </w:tcPr>
          <w:p>
            <w:pPr>
              <w:spacing w:after="0"/>
              <w:rPr>
                <w:sz w:val="24"/>
                <w:szCs w:val="24"/>
                <w:color w:val="auto"/>
              </w:rPr>
            </w:pPr>
          </w:p>
        </w:tc>
        <w:tc>
          <w:tcPr>
            <w:tcW w:w="640" w:type="dxa"/>
            <w:vAlign w:val="bottom"/>
            <w:tcBorders>
              <w:bottom w:val="single" w:sz="8" w:color="DBDBDB"/>
            </w:tcBorders>
            <w:shd w:val="clear" w:color="auto" w:fill="DBDBDB"/>
          </w:tcPr>
          <w:p>
            <w:pPr>
              <w:jc w:val="right"/>
              <w:ind w:right="385"/>
              <w:spacing w:after="0"/>
              <w:rPr>
                <w:sz w:val="20"/>
                <w:szCs w:val="20"/>
                <w:color w:val="auto"/>
              </w:rPr>
            </w:pPr>
            <w:r>
              <w:rPr>
                <w:rFonts w:ascii="Arial" w:cs="Arial" w:eastAsia="Arial" w:hAnsi="Arial"/>
                <w:sz w:val="15"/>
                <w:szCs w:val="15"/>
                <w:color w:val="3C3C3B"/>
                <w:w w:val="95"/>
              </w:rPr>
              <w:t>17</w:t>
            </w:r>
          </w:p>
        </w:tc>
        <w:tc>
          <w:tcPr>
            <w:tcW w:w="0" w:type="dxa"/>
            <w:vAlign w:val="bottom"/>
          </w:tcPr>
          <w:p>
            <w:pPr>
              <w:spacing w:after="0"/>
              <w:rPr>
                <w:sz w:val="1"/>
                <w:szCs w:val="1"/>
                <w:color w:val="auto"/>
              </w:rPr>
            </w:pPr>
          </w:p>
        </w:tc>
      </w:tr>
      <w:tr>
        <w:trPr>
          <w:trHeight w:val="146"/>
        </w:trPr>
        <w:tc>
          <w:tcPr>
            <w:tcW w:w="7880" w:type="dxa"/>
            <w:vAlign w:val="bottom"/>
            <w:tcBorders>
              <w:left w:val="single" w:sz="8" w:color="57879D"/>
            </w:tcBorders>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-369570</wp:posOffset>
            </wp:positionV>
            <wp:extent cx="1094105" cy="277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94105" cy="277495"/>
                    </a:xfrm>
                    <a:prstGeom prst="rect">
                      <a:avLst/>
                    </a:prstGeom>
                    <a:noFill/>
                  </pic:spPr>
                </pic:pic>
              </a:graphicData>
            </a:graphic>
          </wp:anchor>
        </w:drawing>
      </w:r>
    </w:p>
    <w:p>
      <w:pPr>
        <w:sectPr>
          <w:pgSz w:w="11900" w:h="16838" w:orient="portrait"/>
          <w:cols w:equalWidth="0" w:num="1">
            <w:col w:w="11340"/>
          </w:cols>
          <w:pgMar w:left="320" w:top="1273" w:right="239" w:bottom="1440" w:gutter="0" w:footer="0" w:header="0"/>
        </w:sectPr>
      </w:pPr>
    </w:p>
    <w:bookmarkStart w:id="23" w:name="page24"/>
    <w:bookmarkEnd w:id="23"/>
    <w:p>
      <w:pPr>
        <w:ind w:left="100"/>
        <w:spacing w:after="0"/>
        <w:tabs>
          <w:tab w:leader="none" w:pos="1160" w:val="left"/>
        </w:tabs>
        <w:rPr>
          <w:sz w:val="20"/>
          <w:szCs w:val="20"/>
          <w:color w:val="auto"/>
        </w:rPr>
      </w:pPr>
      <w:r>
        <w:rPr>
          <w:rFonts w:ascii="Arial" w:cs="Arial" w:eastAsia="Arial" w:hAnsi="Arial"/>
          <w:sz w:val="28"/>
          <w:szCs w:val="28"/>
          <w:color w:val="57879D"/>
        </w:rPr>
        <w:t>3.4</w:t>
      </w:r>
      <w:r>
        <w:rPr>
          <w:sz w:val="20"/>
          <w:szCs w:val="20"/>
          <w:color w:val="auto"/>
        </w:rPr>
        <w:tab/>
      </w:r>
      <w:r>
        <w:rPr>
          <w:rFonts w:ascii="Arial" w:cs="Arial" w:eastAsia="Arial" w:hAnsi="Arial"/>
          <w:sz w:val="28"/>
          <w:szCs w:val="28"/>
          <w:color w:val="57879D"/>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71266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1320" w:type="dxa"/>
            <w:vAlign w:val="bottom"/>
          </w:tcPr>
          <w:p>
            <w:pPr>
              <w:ind w:left="440"/>
              <w:spacing w:after="0"/>
              <w:rPr>
                <w:sz w:val="20"/>
                <w:szCs w:val="20"/>
                <w:color w:val="auto"/>
              </w:rPr>
            </w:pPr>
            <w:r>
              <w:rPr>
                <w:rFonts w:ascii="Arial" w:cs="Arial" w:eastAsia="Arial" w:hAnsi="Arial"/>
                <w:sz w:val="12"/>
                <w:szCs w:val="12"/>
                <w:color w:val="3C3C3B"/>
              </w:rPr>
              <w:t>Notes</w:t>
            </w:r>
          </w:p>
        </w:tc>
        <w:tc>
          <w:tcPr>
            <w:tcW w:w="1840" w:type="dxa"/>
            <w:vAlign w:val="bottom"/>
          </w:tcPr>
          <w:p>
            <w:pPr>
              <w:jc w:val="right"/>
              <w:ind w:right="298"/>
              <w:spacing w:after="0"/>
              <w:rPr>
                <w:sz w:val="20"/>
                <w:szCs w:val="20"/>
                <w:color w:val="auto"/>
              </w:rPr>
            </w:pPr>
            <w:r>
              <w:rPr>
                <w:rFonts w:ascii="Arial" w:cs="Arial" w:eastAsia="Arial" w:hAnsi="Arial"/>
                <w:sz w:val="12"/>
                <w:szCs w:val="12"/>
                <w:b w:val="1"/>
                <w:bCs w:val="1"/>
                <w:color w:val="3C3C3B"/>
              </w:rPr>
              <w:t>Half-year ended</w:t>
            </w:r>
          </w:p>
        </w:tc>
        <w:tc>
          <w:tcPr>
            <w:tcW w:w="1280" w:type="dxa"/>
            <w:vAlign w:val="bottom"/>
          </w:tcPr>
          <w:p>
            <w:pPr>
              <w:jc w:val="right"/>
              <w:spacing w:after="0"/>
              <w:rPr>
                <w:sz w:val="20"/>
                <w:szCs w:val="20"/>
                <w:color w:val="auto"/>
              </w:rPr>
            </w:pPr>
            <w:r>
              <w:rPr>
                <w:rFonts w:ascii="Arial" w:cs="Arial" w:eastAsia="Arial" w:hAnsi="Arial"/>
                <w:sz w:val="12"/>
                <w:szCs w:val="12"/>
                <w:b w:val="1"/>
                <w:bCs w:val="1"/>
                <w:color w:val="E99D25"/>
              </w:rPr>
              <w:t>Half-year ended</w:t>
            </w:r>
          </w:p>
        </w:tc>
      </w:tr>
      <w:tr>
        <w:trPr>
          <w:trHeight w:val="20"/>
        </w:trPr>
        <w:tc>
          <w:tcPr>
            <w:tcW w:w="67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2"/>
        </w:trPr>
        <w:tc>
          <w:tcPr>
            <w:tcW w:w="678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1320" w:type="dxa"/>
            <w:vAlign w:val="bottom"/>
          </w:tcPr>
          <w:p>
            <w:pPr>
              <w:spacing w:after="0"/>
              <w:rPr>
                <w:sz w:val="14"/>
                <w:szCs w:val="14"/>
                <w:color w:val="auto"/>
              </w:rPr>
            </w:pPr>
          </w:p>
        </w:tc>
        <w:tc>
          <w:tcPr>
            <w:tcW w:w="1840" w:type="dxa"/>
            <w:vAlign w:val="bottom"/>
          </w:tcPr>
          <w:p>
            <w:pPr>
              <w:jc w:val="right"/>
              <w:ind w:right="298"/>
              <w:spacing w:after="0"/>
              <w:rPr>
                <w:sz w:val="20"/>
                <w:szCs w:val="20"/>
                <w:color w:val="auto"/>
              </w:rPr>
            </w:pPr>
            <w:r>
              <w:rPr>
                <w:rFonts w:ascii="Arial" w:cs="Arial" w:eastAsia="Arial" w:hAnsi="Arial"/>
                <w:sz w:val="12"/>
                <w:szCs w:val="12"/>
                <w:b w:val="1"/>
                <w:bCs w:val="1"/>
                <w:color w:val="3C3C3B"/>
              </w:rPr>
              <w:t>2024/06/30</w:t>
            </w:r>
          </w:p>
        </w:tc>
        <w:tc>
          <w:tcPr>
            <w:tcW w:w="128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2"/>
        </w:trPr>
        <w:tc>
          <w:tcPr>
            <w:tcW w:w="6780" w:type="dxa"/>
            <w:vAlign w:val="bottom"/>
          </w:tcPr>
          <w:p>
            <w:pPr>
              <w:ind w:left="20"/>
              <w:spacing w:after="0"/>
              <w:rPr>
                <w:sz w:val="20"/>
                <w:szCs w:val="20"/>
                <w:color w:val="auto"/>
              </w:rPr>
            </w:pPr>
            <w:r>
              <w:rPr>
                <w:rFonts w:ascii="Arial" w:cs="Arial" w:eastAsia="Arial" w:hAnsi="Arial"/>
                <w:sz w:val="12"/>
                <w:szCs w:val="12"/>
                <w:b w:val="1"/>
                <w:bCs w:val="1"/>
                <w:color w:val="E99D25"/>
              </w:rPr>
              <w:t>Cash flows from operating activities</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
        </w:trPr>
        <w:tc>
          <w:tcPr>
            <w:tcW w:w="6780" w:type="dxa"/>
            <w:vAlign w:val="bottom"/>
            <w:tcBorders>
              <w:bottom w:val="single" w:sz="8" w:color="E99D25"/>
            </w:tcBorders>
          </w:tcPr>
          <w:p>
            <w:pPr>
              <w:spacing w:after="0" w:line="20" w:lineRule="exact"/>
              <w:rPr>
                <w:sz w:val="1"/>
                <w:szCs w:val="1"/>
                <w:color w:val="auto"/>
              </w:rPr>
            </w:pPr>
          </w:p>
        </w:tc>
        <w:tc>
          <w:tcPr>
            <w:tcW w:w="1320" w:type="dxa"/>
            <w:vAlign w:val="bottom"/>
            <w:tcBorders>
              <w:bottom w:val="single" w:sz="8" w:color="E99D25"/>
            </w:tcBorders>
          </w:tcPr>
          <w:p>
            <w:pPr>
              <w:spacing w:after="0" w:line="20" w:lineRule="exact"/>
              <w:rPr>
                <w:sz w:val="1"/>
                <w:szCs w:val="1"/>
                <w:color w:val="auto"/>
              </w:rPr>
            </w:pPr>
          </w:p>
        </w:tc>
        <w:tc>
          <w:tcPr>
            <w:tcW w:w="1840" w:type="dxa"/>
            <w:vAlign w:val="bottom"/>
            <w:tcBorders>
              <w:bottom w:val="single" w:sz="8" w:color="E99D25"/>
            </w:tcBorders>
          </w:tcPr>
          <w:p>
            <w:pPr>
              <w:spacing w:after="0" w:line="20" w:lineRule="exact"/>
              <w:rPr>
                <w:sz w:val="1"/>
                <w:szCs w:val="1"/>
                <w:color w:val="auto"/>
              </w:rPr>
            </w:pPr>
          </w:p>
        </w:tc>
        <w:tc>
          <w:tcPr>
            <w:tcW w:w="1280" w:type="dxa"/>
            <w:vAlign w:val="bottom"/>
            <w:tcBorders>
              <w:bottom w:val="single" w:sz="8" w:color="E99D25"/>
            </w:tcBorders>
          </w:tcPr>
          <w:p>
            <w:pPr>
              <w:spacing w:after="0" w:line="20" w:lineRule="exact"/>
              <w:rPr>
                <w:sz w:val="1"/>
                <w:szCs w:val="1"/>
                <w:color w:val="auto"/>
              </w:rPr>
            </w:pPr>
          </w:p>
        </w:tc>
      </w:tr>
      <w:tr>
        <w:trPr>
          <w:trHeight w:val="172"/>
        </w:trPr>
        <w:tc>
          <w:tcPr>
            <w:tcW w:w="6780" w:type="dxa"/>
            <w:vAlign w:val="bottom"/>
            <w:tcBorders>
              <w:bottom w:val="single" w:sz="8" w:color="FDF5E7"/>
            </w:tcBorders>
            <w:shd w:val="clear" w:color="auto" w:fill="FDF5E7"/>
          </w:tcPr>
          <w:p>
            <w:pPr>
              <w:ind w:left="60"/>
              <w:spacing w:after="0"/>
              <w:rPr>
                <w:sz w:val="20"/>
                <w:szCs w:val="20"/>
                <w:color w:val="auto"/>
              </w:rPr>
            </w:pPr>
            <w:r>
              <w:rPr>
                <w:rFonts w:ascii="Arial" w:cs="Arial" w:eastAsia="Arial" w:hAnsi="Arial"/>
                <w:sz w:val="12"/>
                <w:szCs w:val="12"/>
                <w:color w:val="3C3C3B"/>
              </w:rPr>
              <w:t>+ Net profit (loss)</w:t>
            </w:r>
          </w:p>
        </w:tc>
        <w:tc>
          <w:tcPr>
            <w:tcW w:w="1320" w:type="dxa"/>
            <w:vAlign w:val="bottom"/>
            <w:tcBorders>
              <w:bottom w:val="single" w:sz="8" w:color="FDF5E7"/>
            </w:tcBorders>
            <w:shd w:val="clear" w:color="auto" w:fill="FDF5E7"/>
          </w:tcPr>
          <w:p>
            <w:pPr>
              <w:spacing w:after="0"/>
              <w:rPr>
                <w:sz w:val="14"/>
                <w:szCs w:val="14"/>
                <w:color w:val="auto"/>
              </w:rPr>
            </w:pPr>
          </w:p>
        </w:tc>
        <w:tc>
          <w:tcPr>
            <w:tcW w:w="1840" w:type="dxa"/>
            <w:vAlign w:val="bottom"/>
            <w:tcBorders>
              <w:bottom w:val="single" w:sz="8" w:color="FDF5E7"/>
            </w:tcBorders>
            <w:shd w:val="clear" w:color="auto" w:fill="FDF5E7"/>
          </w:tcPr>
          <w:p>
            <w:pPr>
              <w:jc w:val="right"/>
              <w:ind w:right="338"/>
              <w:spacing w:after="0"/>
              <w:rPr>
                <w:sz w:val="20"/>
                <w:szCs w:val="20"/>
                <w:color w:val="auto"/>
              </w:rPr>
            </w:pPr>
            <w:r>
              <w:rPr>
                <w:rFonts w:ascii="Arial" w:cs="Arial" w:eastAsia="Arial" w:hAnsi="Arial"/>
                <w:sz w:val="12"/>
                <w:szCs w:val="12"/>
                <w:color w:val="auto"/>
              </w:rPr>
              <w:t>30,311</w:t>
            </w:r>
          </w:p>
        </w:tc>
        <w:tc>
          <w:tcPr>
            <w:tcW w:w="128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(9,956)</w:t>
            </w:r>
          </w:p>
        </w:tc>
      </w:tr>
      <w:tr>
        <w:trPr>
          <w:trHeight w:val="178"/>
        </w:trPr>
        <w:tc>
          <w:tcPr>
            <w:tcW w:w="6780" w:type="dxa"/>
            <w:vAlign w:val="bottom"/>
          </w:tcPr>
          <w:p>
            <w:pPr>
              <w:ind w:left="20"/>
              <w:spacing w:after="0"/>
              <w:rPr>
                <w:sz w:val="20"/>
                <w:szCs w:val="20"/>
                <w:color w:val="auto"/>
              </w:rPr>
            </w:pPr>
            <w:r>
              <w:rPr>
                <w:rFonts w:ascii="Arial" w:cs="Arial" w:eastAsia="Arial" w:hAnsi="Arial"/>
                <w:sz w:val="12"/>
                <w:szCs w:val="12"/>
                <w:b w:val="1"/>
                <w:bCs w:val="1"/>
                <w:color w:val="E99D25"/>
              </w:rPr>
              <w:t>Reconciliation of net loss to net cash used in operating activities</w:t>
            </w:r>
          </w:p>
        </w:tc>
        <w:tc>
          <w:tcPr>
            <w:tcW w:w="1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6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9"/>
        </w:trPr>
        <w:tc>
          <w:tcPr>
            <w:tcW w:w="678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Adjustments for:</w:t>
            </w:r>
          </w:p>
        </w:tc>
        <w:tc>
          <w:tcPr>
            <w:tcW w:w="1320" w:type="dxa"/>
            <w:vAlign w:val="bottom"/>
            <w:tcBorders>
              <w:bottom w:val="single" w:sz="8" w:color="FDF5E7"/>
            </w:tcBorders>
            <w:shd w:val="clear" w:color="auto" w:fill="FDF5E7"/>
          </w:tcPr>
          <w:p>
            <w:pPr>
              <w:spacing w:after="0"/>
              <w:rPr>
                <w:sz w:val="15"/>
                <w:szCs w:val="15"/>
                <w:color w:val="auto"/>
              </w:rPr>
            </w:pPr>
          </w:p>
        </w:tc>
        <w:tc>
          <w:tcPr>
            <w:tcW w:w="1840" w:type="dxa"/>
            <w:vAlign w:val="bottom"/>
            <w:tcBorders>
              <w:bottom w:val="single" w:sz="8" w:color="FDF5E7"/>
            </w:tcBorders>
            <w:shd w:val="clear" w:color="auto" w:fill="FDF5E7"/>
          </w:tcPr>
          <w:p>
            <w:pPr>
              <w:spacing w:after="0"/>
              <w:rPr>
                <w:sz w:val="15"/>
                <w:szCs w:val="15"/>
                <w:color w:val="auto"/>
              </w:rPr>
            </w:pPr>
          </w:p>
        </w:tc>
        <w:tc>
          <w:tcPr>
            <w:tcW w:w="1280" w:type="dxa"/>
            <w:vAlign w:val="bottom"/>
            <w:tcBorders>
              <w:bottom w:val="single" w:sz="8" w:color="FDF5E7"/>
            </w:tcBorders>
            <w:shd w:val="clear" w:color="auto" w:fill="FDF5E7"/>
          </w:tcPr>
          <w:p>
            <w:pPr>
              <w:spacing w:after="0"/>
              <w:rPr>
                <w:sz w:val="15"/>
                <w:szCs w:val="15"/>
                <w:color w:val="auto"/>
              </w:rPr>
            </w:pPr>
          </w:p>
        </w:tc>
      </w:tr>
      <w:tr>
        <w:trPr>
          <w:trHeight w:val="173"/>
        </w:trPr>
        <w:tc>
          <w:tcPr>
            <w:tcW w:w="6780" w:type="dxa"/>
            <w:vAlign w:val="bottom"/>
          </w:tcPr>
          <w:p>
            <w:pPr>
              <w:ind w:left="60"/>
              <w:spacing w:after="0"/>
              <w:rPr>
                <w:sz w:val="20"/>
                <w:szCs w:val="20"/>
                <w:color w:val="auto"/>
              </w:rPr>
            </w:pPr>
            <w:r>
              <w:rPr>
                <w:rFonts w:ascii="Arial" w:cs="Arial" w:eastAsia="Arial" w:hAnsi="Arial"/>
                <w:sz w:val="12"/>
                <w:szCs w:val="12"/>
                <w:color w:val="3C3C3B"/>
              </w:rPr>
              <w:t>+ Depreciation and amortization on tangible and intangible assets</w:t>
            </w:r>
          </w:p>
        </w:tc>
        <w:tc>
          <w:tcPr>
            <w:tcW w:w="1320" w:type="dxa"/>
            <w:vAlign w:val="bottom"/>
          </w:tcPr>
          <w:p>
            <w:pPr>
              <w:jc w:val="center"/>
              <w:ind w:right="58"/>
              <w:spacing w:after="0"/>
              <w:rPr>
                <w:sz w:val="20"/>
                <w:szCs w:val="20"/>
                <w:color w:val="auto"/>
              </w:rPr>
            </w:pPr>
            <w:r>
              <w:rPr>
                <w:rFonts w:ascii="Arial" w:cs="Arial" w:eastAsia="Arial" w:hAnsi="Arial"/>
                <w:sz w:val="12"/>
                <w:szCs w:val="12"/>
                <w:color w:val="3C3C3B"/>
                <w:w w:val="89"/>
              </w:rPr>
              <w:t>15</w:t>
            </w:r>
          </w:p>
        </w:tc>
        <w:tc>
          <w:tcPr>
            <w:tcW w:w="1840" w:type="dxa"/>
            <w:vAlign w:val="bottom"/>
          </w:tcPr>
          <w:p>
            <w:pPr>
              <w:jc w:val="right"/>
              <w:ind w:right="338"/>
              <w:spacing w:after="0"/>
              <w:rPr>
                <w:sz w:val="20"/>
                <w:szCs w:val="20"/>
                <w:color w:val="auto"/>
              </w:rPr>
            </w:pPr>
            <w:r>
              <w:rPr>
                <w:rFonts w:ascii="Arial" w:cs="Arial" w:eastAsia="Arial" w:hAnsi="Arial"/>
                <w:sz w:val="12"/>
                <w:szCs w:val="12"/>
                <w:color w:val="auto"/>
              </w:rPr>
              <w:t>854</w:t>
            </w:r>
          </w:p>
        </w:tc>
        <w:tc>
          <w:tcPr>
            <w:tcW w:w="1280" w:type="dxa"/>
            <w:vAlign w:val="bottom"/>
          </w:tcPr>
          <w:p>
            <w:pPr>
              <w:jc w:val="right"/>
              <w:spacing w:after="0"/>
              <w:rPr>
                <w:sz w:val="20"/>
                <w:szCs w:val="20"/>
                <w:color w:val="auto"/>
              </w:rPr>
            </w:pPr>
            <w:r>
              <w:rPr>
                <w:rFonts w:ascii="Arial" w:cs="Arial" w:eastAsia="Arial" w:hAnsi="Arial"/>
                <w:sz w:val="12"/>
                <w:szCs w:val="12"/>
                <w:color w:val="auto"/>
              </w:rPr>
              <w:t>897</w:t>
            </w:r>
          </w:p>
        </w:tc>
      </w:tr>
      <w:tr>
        <w:trPr>
          <w:trHeight w:val="26"/>
        </w:trPr>
        <w:tc>
          <w:tcPr>
            <w:tcW w:w="6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9"/>
        </w:trPr>
        <w:tc>
          <w:tcPr>
            <w:tcW w:w="6780" w:type="dxa"/>
            <w:vAlign w:val="bottom"/>
            <w:tcBorders>
              <w:bottom w:val="single" w:sz="8" w:color="FDF5E7"/>
            </w:tcBorders>
            <w:shd w:val="clear" w:color="auto" w:fill="FDF5E7"/>
          </w:tcPr>
          <w:p>
            <w:pPr>
              <w:ind w:left="60"/>
              <w:spacing w:after="0"/>
              <w:rPr>
                <w:sz w:val="20"/>
                <w:szCs w:val="20"/>
                <w:color w:val="auto"/>
              </w:rPr>
            </w:pPr>
            <w:r>
              <w:rPr>
                <w:rFonts w:ascii="Arial" w:cs="Arial" w:eastAsia="Arial" w:hAnsi="Arial"/>
                <w:sz w:val="12"/>
                <w:szCs w:val="12"/>
                <w:color w:val="3C3C3B"/>
              </w:rPr>
              <w:t>+ Impairment and provisions</w:t>
            </w:r>
          </w:p>
        </w:tc>
        <w:tc>
          <w:tcPr>
            <w:tcW w:w="1320" w:type="dxa"/>
            <w:vAlign w:val="bottom"/>
            <w:tcBorders>
              <w:bottom w:val="single" w:sz="8" w:color="FDF5E7"/>
            </w:tcBorders>
            <w:shd w:val="clear" w:color="auto" w:fill="FDF5E7"/>
          </w:tcPr>
          <w:p>
            <w:pPr>
              <w:spacing w:after="0"/>
              <w:rPr>
                <w:sz w:val="15"/>
                <w:szCs w:val="15"/>
                <w:color w:val="auto"/>
              </w:rPr>
            </w:pPr>
          </w:p>
        </w:tc>
        <w:tc>
          <w:tcPr>
            <w:tcW w:w="1840" w:type="dxa"/>
            <w:vAlign w:val="bottom"/>
            <w:tcBorders>
              <w:bottom w:val="single" w:sz="8" w:color="FDF5E7"/>
            </w:tcBorders>
            <w:shd w:val="clear" w:color="auto" w:fill="FDF5E7"/>
          </w:tcPr>
          <w:p>
            <w:pPr>
              <w:jc w:val="right"/>
              <w:ind w:right="338"/>
              <w:spacing w:after="0"/>
              <w:rPr>
                <w:sz w:val="20"/>
                <w:szCs w:val="20"/>
                <w:color w:val="auto"/>
              </w:rPr>
            </w:pPr>
            <w:r>
              <w:rPr>
                <w:rFonts w:ascii="Arial" w:cs="Arial" w:eastAsia="Arial" w:hAnsi="Arial"/>
                <w:sz w:val="12"/>
                <w:szCs w:val="12"/>
                <w:color w:val="auto"/>
              </w:rPr>
              <w:t>105</w:t>
            </w:r>
          </w:p>
        </w:tc>
        <w:tc>
          <w:tcPr>
            <w:tcW w:w="128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193</w:t>
            </w:r>
          </w:p>
        </w:tc>
      </w:tr>
      <w:tr>
        <w:trPr>
          <w:trHeight w:val="173"/>
        </w:trPr>
        <w:tc>
          <w:tcPr>
            <w:tcW w:w="6780" w:type="dxa"/>
            <w:vAlign w:val="bottom"/>
          </w:tcPr>
          <w:p>
            <w:pPr>
              <w:ind w:left="60"/>
              <w:spacing w:after="0"/>
              <w:rPr>
                <w:sz w:val="20"/>
                <w:szCs w:val="20"/>
                <w:color w:val="auto"/>
              </w:rPr>
            </w:pPr>
            <w:r>
              <w:rPr>
                <w:rFonts w:ascii="Arial" w:cs="Arial" w:eastAsia="Arial" w:hAnsi="Arial"/>
                <w:sz w:val="12"/>
                <w:szCs w:val="12"/>
                <w:color w:val="3C3C3B"/>
              </w:rPr>
              <w:t>+ Expenses related to share-based compensation</w:t>
            </w:r>
          </w:p>
        </w:tc>
        <w:tc>
          <w:tcPr>
            <w:tcW w:w="1320" w:type="dxa"/>
            <w:vAlign w:val="bottom"/>
          </w:tcPr>
          <w:p>
            <w:pPr>
              <w:spacing w:after="0"/>
              <w:rPr>
                <w:sz w:val="15"/>
                <w:szCs w:val="15"/>
                <w:color w:val="auto"/>
              </w:rPr>
            </w:pPr>
          </w:p>
        </w:tc>
        <w:tc>
          <w:tcPr>
            <w:tcW w:w="1840" w:type="dxa"/>
            <w:vAlign w:val="bottom"/>
          </w:tcPr>
          <w:p>
            <w:pPr>
              <w:jc w:val="right"/>
              <w:ind w:right="338"/>
              <w:spacing w:after="0"/>
              <w:rPr>
                <w:sz w:val="20"/>
                <w:szCs w:val="20"/>
                <w:color w:val="auto"/>
              </w:rPr>
            </w:pPr>
            <w:r>
              <w:rPr>
                <w:rFonts w:ascii="Arial" w:cs="Arial" w:eastAsia="Arial" w:hAnsi="Arial"/>
                <w:sz w:val="12"/>
                <w:szCs w:val="12"/>
                <w:color w:val="auto"/>
              </w:rPr>
              <w:t>334</w:t>
            </w:r>
          </w:p>
        </w:tc>
        <w:tc>
          <w:tcPr>
            <w:tcW w:w="1280" w:type="dxa"/>
            <w:vAlign w:val="bottom"/>
          </w:tcPr>
          <w:p>
            <w:pPr>
              <w:jc w:val="right"/>
              <w:spacing w:after="0"/>
              <w:rPr>
                <w:sz w:val="20"/>
                <w:szCs w:val="20"/>
                <w:color w:val="auto"/>
              </w:rPr>
            </w:pPr>
            <w:r>
              <w:rPr>
                <w:rFonts w:ascii="Arial" w:cs="Arial" w:eastAsia="Arial" w:hAnsi="Arial"/>
                <w:sz w:val="12"/>
                <w:szCs w:val="12"/>
                <w:color w:val="auto"/>
              </w:rPr>
              <w:t>242</w:t>
            </w:r>
          </w:p>
        </w:tc>
      </w:tr>
      <w:tr>
        <w:trPr>
          <w:trHeight w:val="26"/>
        </w:trPr>
        <w:tc>
          <w:tcPr>
            <w:tcW w:w="6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9"/>
        </w:trPr>
        <w:tc>
          <w:tcPr>
            <w:tcW w:w="6780" w:type="dxa"/>
            <w:vAlign w:val="bottom"/>
            <w:tcBorders>
              <w:bottom w:val="single" w:sz="8" w:color="FDF5E7"/>
            </w:tcBorders>
            <w:shd w:val="clear" w:color="auto" w:fill="FDF5E7"/>
          </w:tcPr>
          <w:p>
            <w:pPr>
              <w:ind w:left="60"/>
              <w:spacing w:after="0"/>
              <w:rPr>
                <w:sz w:val="20"/>
                <w:szCs w:val="20"/>
                <w:color w:val="auto"/>
              </w:rPr>
            </w:pPr>
            <w:r>
              <w:rPr>
                <w:rFonts w:ascii="Arial" w:cs="Arial" w:eastAsia="Arial" w:hAnsi="Arial"/>
                <w:sz w:val="12"/>
                <w:szCs w:val="12"/>
                <w:color w:val="3C3C3B"/>
              </w:rPr>
              <w:t>- Loss (gain) on disposal of property, plant and equipment</w:t>
            </w:r>
          </w:p>
        </w:tc>
        <w:tc>
          <w:tcPr>
            <w:tcW w:w="1320" w:type="dxa"/>
            <w:vAlign w:val="bottom"/>
            <w:tcBorders>
              <w:bottom w:val="single" w:sz="8" w:color="FDF5E7"/>
            </w:tcBorders>
            <w:shd w:val="clear" w:color="auto" w:fill="FDF5E7"/>
          </w:tcPr>
          <w:p>
            <w:pPr>
              <w:spacing w:after="0"/>
              <w:rPr>
                <w:sz w:val="15"/>
                <w:szCs w:val="15"/>
                <w:color w:val="auto"/>
              </w:rPr>
            </w:pPr>
          </w:p>
        </w:tc>
        <w:tc>
          <w:tcPr>
            <w:tcW w:w="1840" w:type="dxa"/>
            <w:vAlign w:val="bottom"/>
            <w:tcBorders>
              <w:bottom w:val="single" w:sz="8" w:color="FDF5E7"/>
            </w:tcBorders>
            <w:shd w:val="clear" w:color="auto" w:fill="FDF5E7"/>
          </w:tcPr>
          <w:p>
            <w:pPr>
              <w:jc w:val="right"/>
              <w:ind w:right="298"/>
              <w:spacing w:after="0"/>
              <w:rPr>
                <w:sz w:val="20"/>
                <w:szCs w:val="20"/>
                <w:color w:val="auto"/>
              </w:rPr>
            </w:pPr>
            <w:r>
              <w:rPr>
                <w:rFonts w:ascii="Arial" w:cs="Arial" w:eastAsia="Arial" w:hAnsi="Arial"/>
                <w:sz w:val="12"/>
                <w:szCs w:val="12"/>
                <w:color w:val="auto"/>
              </w:rPr>
              <w:t>(62)</w:t>
            </w:r>
          </w:p>
        </w:tc>
        <w:tc>
          <w:tcPr>
            <w:tcW w:w="128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(12)</w:t>
            </w:r>
          </w:p>
        </w:tc>
      </w:tr>
      <w:tr>
        <w:trPr>
          <w:trHeight w:val="173"/>
        </w:trPr>
        <w:tc>
          <w:tcPr>
            <w:tcW w:w="6780" w:type="dxa"/>
            <w:vAlign w:val="bottom"/>
          </w:tcPr>
          <w:p>
            <w:pPr>
              <w:ind w:left="60"/>
              <w:spacing w:after="0"/>
              <w:rPr>
                <w:sz w:val="20"/>
                <w:szCs w:val="20"/>
                <w:color w:val="auto"/>
              </w:rPr>
            </w:pPr>
            <w:r>
              <w:rPr>
                <w:rFonts w:ascii="Arial" w:cs="Arial" w:eastAsia="Arial" w:hAnsi="Arial"/>
                <w:sz w:val="12"/>
                <w:szCs w:val="12"/>
                <w:color w:val="3C3C3B"/>
              </w:rPr>
              <w:t>+ Net finance expenses (revenue)</w:t>
            </w:r>
          </w:p>
        </w:tc>
        <w:tc>
          <w:tcPr>
            <w:tcW w:w="1320" w:type="dxa"/>
            <w:vAlign w:val="bottom"/>
          </w:tcPr>
          <w:p>
            <w:pPr>
              <w:jc w:val="center"/>
              <w:ind w:right="58"/>
              <w:spacing w:after="0"/>
              <w:rPr>
                <w:sz w:val="20"/>
                <w:szCs w:val="20"/>
                <w:color w:val="auto"/>
              </w:rPr>
            </w:pPr>
            <w:r>
              <w:rPr>
                <w:rFonts w:ascii="Arial" w:cs="Arial" w:eastAsia="Arial" w:hAnsi="Arial"/>
                <w:sz w:val="12"/>
                <w:szCs w:val="12"/>
                <w:color w:val="3C3C3B"/>
              </w:rPr>
              <w:t>9</w:t>
            </w:r>
          </w:p>
        </w:tc>
        <w:tc>
          <w:tcPr>
            <w:tcW w:w="1840" w:type="dxa"/>
            <w:vAlign w:val="bottom"/>
          </w:tcPr>
          <w:p>
            <w:pPr>
              <w:jc w:val="right"/>
              <w:ind w:right="338"/>
              <w:spacing w:after="0"/>
              <w:rPr>
                <w:sz w:val="20"/>
                <w:szCs w:val="20"/>
                <w:color w:val="auto"/>
              </w:rPr>
            </w:pPr>
            <w:r>
              <w:rPr>
                <w:rFonts w:ascii="Arial" w:cs="Arial" w:eastAsia="Arial" w:hAnsi="Arial"/>
                <w:sz w:val="12"/>
                <w:szCs w:val="12"/>
                <w:color w:val="auto"/>
              </w:rPr>
              <w:t>542</w:t>
            </w:r>
          </w:p>
        </w:tc>
        <w:tc>
          <w:tcPr>
            <w:tcW w:w="1280" w:type="dxa"/>
            <w:vAlign w:val="bottom"/>
          </w:tcPr>
          <w:p>
            <w:pPr>
              <w:jc w:val="right"/>
              <w:spacing w:after="0"/>
              <w:rPr>
                <w:sz w:val="20"/>
                <w:szCs w:val="20"/>
                <w:color w:val="auto"/>
              </w:rPr>
            </w:pPr>
            <w:r>
              <w:rPr>
                <w:rFonts w:ascii="Arial" w:cs="Arial" w:eastAsia="Arial" w:hAnsi="Arial"/>
                <w:sz w:val="12"/>
                <w:szCs w:val="12"/>
                <w:color w:val="auto"/>
              </w:rPr>
              <w:t>6,324</w:t>
            </w:r>
          </w:p>
        </w:tc>
      </w:tr>
      <w:tr>
        <w:trPr>
          <w:trHeight w:val="26"/>
        </w:trPr>
        <w:tc>
          <w:tcPr>
            <w:tcW w:w="6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9"/>
        </w:trPr>
        <w:tc>
          <w:tcPr>
            <w:tcW w:w="6780" w:type="dxa"/>
            <w:vAlign w:val="bottom"/>
            <w:tcBorders>
              <w:bottom w:val="single" w:sz="8" w:color="FDF5E7"/>
            </w:tcBorders>
            <w:shd w:val="clear" w:color="auto" w:fill="FDF5E7"/>
          </w:tcPr>
          <w:p>
            <w:pPr>
              <w:ind w:left="60"/>
              <w:spacing w:after="0"/>
              <w:rPr>
                <w:sz w:val="20"/>
                <w:szCs w:val="20"/>
                <w:color w:val="auto"/>
              </w:rPr>
            </w:pPr>
            <w:r>
              <w:rPr>
                <w:rFonts w:ascii="Arial" w:cs="Arial" w:eastAsia="Arial" w:hAnsi="Arial"/>
                <w:sz w:val="12"/>
                <w:szCs w:val="12"/>
                <w:color w:val="3C3C3B"/>
              </w:rPr>
              <w:t>+ Income tax expense (benefit)</w:t>
            </w:r>
          </w:p>
        </w:tc>
        <w:tc>
          <w:tcPr>
            <w:tcW w:w="1320" w:type="dxa"/>
            <w:vAlign w:val="bottom"/>
            <w:tcBorders>
              <w:bottom w:val="single" w:sz="8" w:color="FDF5E7"/>
            </w:tcBorders>
            <w:shd w:val="clear" w:color="auto" w:fill="FDF5E7"/>
          </w:tcPr>
          <w:p>
            <w:pPr>
              <w:jc w:val="center"/>
              <w:ind w:right="58"/>
              <w:spacing w:after="0"/>
              <w:rPr>
                <w:sz w:val="20"/>
                <w:szCs w:val="20"/>
                <w:color w:val="auto"/>
              </w:rPr>
            </w:pPr>
            <w:r>
              <w:rPr>
                <w:rFonts w:ascii="Arial" w:cs="Arial" w:eastAsia="Arial" w:hAnsi="Arial"/>
                <w:sz w:val="12"/>
                <w:szCs w:val="12"/>
                <w:color w:val="3C3C3B"/>
                <w:w w:val="89"/>
              </w:rPr>
              <w:t>10</w:t>
            </w:r>
          </w:p>
        </w:tc>
        <w:tc>
          <w:tcPr>
            <w:tcW w:w="1840" w:type="dxa"/>
            <w:vAlign w:val="bottom"/>
            <w:tcBorders>
              <w:bottom w:val="single" w:sz="8" w:color="FDF5E7"/>
            </w:tcBorders>
            <w:shd w:val="clear" w:color="auto" w:fill="FDF5E7"/>
          </w:tcPr>
          <w:p>
            <w:pPr>
              <w:jc w:val="right"/>
              <w:ind w:right="338"/>
              <w:spacing w:after="0"/>
              <w:rPr>
                <w:sz w:val="20"/>
                <w:szCs w:val="20"/>
                <w:color w:val="auto"/>
              </w:rPr>
            </w:pPr>
            <w:r>
              <w:rPr>
                <w:rFonts w:ascii="Arial" w:cs="Arial" w:eastAsia="Arial" w:hAnsi="Arial"/>
                <w:sz w:val="12"/>
                <w:szCs w:val="12"/>
                <w:color w:val="auto"/>
              </w:rPr>
              <w:t>39</w:t>
            </w:r>
          </w:p>
        </w:tc>
        <w:tc>
          <w:tcPr>
            <w:tcW w:w="128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(146)</w:t>
            </w:r>
          </w:p>
        </w:tc>
      </w:tr>
      <w:tr>
        <w:trPr>
          <w:trHeight w:val="173"/>
        </w:trPr>
        <w:tc>
          <w:tcPr>
            <w:tcW w:w="6780" w:type="dxa"/>
            <w:vAlign w:val="bottom"/>
          </w:tcPr>
          <w:p>
            <w:pPr>
              <w:ind w:left="60"/>
              <w:spacing w:after="0"/>
              <w:rPr>
                <w:sz w:val="20"/>
                <w:szCs w:val="20"/>
                <w:color w:val="auto"/>
              </w:rPr>
            </w:pPr>
            <w:r>
              <w:rPr>
                <w:rFonts w:ascii="Arial" w:cs="Arial" w:eastAsia="Arial" w:hAnsi="Arial"/>
                <w:sz w:val="12"/>
                <w:szCs w:val="12"/>
                <w:color w:val="3C3C3B"/>
              </w:rPr>
              <w:t>+ Other non-cash items</w:t>
            </w:r>
          </w:p>
        </w:tc>
        <w:tc>
          <w:tcPr>
            <w:tcW w:w="1320" w:type="dxa"/>
            <w:vAlign w:val="bottom"/>
          </w:tcPr>
          <w:p>
            <w:pPr>
              <w:spacing w:after="0"/>
              <w:rPr>
                <w:sz w:val="15"/>
                <w:szCs w:val="15"/>
                <w:color w:val="auto"/>
              </w:rPr>
            </w:pPr>
          </w:p>
        </w:tc>
        <w:tc>
          <w:tcPr>
            <w:tcW w:w="1840" w:type="dxa"/>
            <w:vAlign w:val="bottom"/>
          </w:tcPr>
          <w:p>
            <w:pPr>
              <w:jc w:val="right"/>
              <w:ind w:right="338"/>
              <w:spacing w:after="0"/>
              <w:rPr>
                <w:sz w:val="20"/>
                <w:szCs w:val="20"/>
                <w:color w:val="auto"/>
              </w:rPr>
            </w:pPr>
            <w:r>
              <w:rPr>
                <w:rFonts w:ascii="Arial" w:cs="Arial" w:eastAsia="Arial" w:hAnsi="Arial"/>
                <w:sz w:val="12"/>
                <w:szCs w:val="12"/>
                <w:color w:val="auto"/>
              </w:rPr>
              <w:t>1,687</w:t>
            </w:r>
          </w:p>
        </w:tc>
        <w:tc>
          <w:tcPr>
            <w:tcW w:w="1280" w:type="dxa"/>
            <w:vAlign w:val="bottom"/>
          </w:tcPr>
          <w:p>
            <w:pPr>
              <w:jc w:val="right"/>
              <w:spacing w:after="0"/>
              <w:rPr>
                <w:sz w:val="20"/>
                <w:szCs w:val="20"/>
                <w:color w:val="auto"/>
              </w:rPr>
            </w:pPr>
            <w:r>
              <w:rPr>
                <w:rFonts w:ascii="Arial" w:cs="Arial" w:eastAsia="Arial" w:hAnsi="Arial"/>
                <w:sz w:val="12"/>
                <w:szCs w:val="12"/>
                <w:color w:val="auto"/>
              </w:rPr>
              <w:t>590</w:t>
            </w:r>
          </w:p>
        </w:tc>
      </w:tr>
      <w:tr>
        <w:trPr>
          <w:trHeight w:val="205"/>
        </w:trPr>
        <w:tc>
          <w:tcPr>
            <w:tcW w:w="6780" w:type="dxa"/>
            <w:vAlign w:val="bottom"/>
          </w:tcPr>
          <w:p>
            <w:pPr>
              <w:ind w:left="20"/>
              <w:spacing w:after="0"/>
              <w:rPr>
                <w:sz w:val="20"/>
                <w:szCs w:val="20"/>
                <w:color w:val="auto"/>
              </w:rPr>
            </w:pPr>
            <w:r>
              <w:rPr>
                <w:rFonts w:ascii="Arial" w:cs="Arial" w:eastAsia="Arial" w:hAnsi="Arial"/>
                <w:sz w:val="12"/>
                <w:szCs w:val="12"/>
                <w:b w:val="1"/>
                <w:bCs w:val="1"/>
                <w:i w:val="1"/>
                <w:iCs w:val="1"/>
                <w:color w:val="3C3C3B"/>
              </w:rPr>
              <w:t>Operating cash flows before change in working capital</w:t>
            </w:r>
          </w:p>
        </w:tc>
        <w:tc>
          <w:tcPr>
            <w:tcW w:w="1320" w:type="dxa"/>
            <w:vAlign w:val="bottom"/>
          </w:tcPr>
          <w:p>
            <w:pPr>
              <w:spacing w:after="0"/>
              <w:rPr>
                <w:sz w:val="17"/>
                <w:szCs w:val="17"/>
                <w:color w:val="auto"/>
              </w:rPr>
            </w:pPr>
          </w:p>
        </w:tc>
        <w:tc>
          <w:tcPr>
            <w:tcW w:w="1840" w:type="dxa"/>
            <w:vAlign w:val="bottom"/>
          </w:tcPr>
          <w:p>
            <w:pPr>
              <w:jc w:val="right"/>
              <w:ind w:right="338"/>
              <w:spacing w:after="0"/>
              <w:rPr>
                <w:sz w:val="20"/>
                <w:szCs w:val="20"/>
                <w:color w:val="auto"/>
              </w:rPr>
            </w:pPr>
            <w:r>
              <w:rPr>
                <w:rFonts w:ascii="Arial" w:cs="Arial" w:eastAsia="Arial" w:hAnsi="Arial"/>
                <w:sz w:val="12"/>
                <w:szCs w:val="12"/>
                <w:b w:val="1"/>
                <w:bCs w:val="1"/>
                <w:i w:val="1"/>
                <w:iCs w:val="1"/>
                <w:color w:val="auto"/>
              </w:rPr>
              <w:t>33,809</w:t>
            </w:r>
          </w:p>
        </w:tc>
        <w:tc>
          <w:tcPr>
            <w:tcW w:w="128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(1,868)</w:t>
            </w:r>
          </w:p>
        </w:tc>
      </w:tr>
      <w:tr>
        <w:trPr>
          <w:trHeight w:val="20"/>
        </w:trPr>
        <w:tc>
          <w:tcPr>
            <w:tcW w:w="6780" w:type="dxa"/>
            <w:vAlign w:val="bottom"/>
            <w:tcBorders>
              <w:bottom w:val="single" w:sz="8" w:color="242424"/>
            </w:tcBorders>
          </w:tcPr>
          <w:p>
            <w:pPr>
              <w:spacing w:after="0" w:line="20" w:lineRule="exact"/>
              <w:rPr>
                <w:sz w:val="1"/>
                <w:szCs w:val="1"/>
                <w:color w:val="auto"/>
              </w:rPr>
            </w:pPr>
          </w:p>
        </w:tc>
        <w:tc>
          <w:tcPr>
            <w:tcW w:w="1320" w:type="dxa"/>
            <w:vAlign w:val="bottom"/>
            <w:tcBorders>
              <w:bottom w:val="single" w:sz="8" w:color="242424"/>
            </w:tcBorders>
          </w:tcPr>
          <w:p>
            <w:pPr>
              <w:spacing w:after="0" w:line="20" w:lineRule="exact"/>
              <w:rPr>
                <w:sz w:val="1"/>
                <w:szCs w:val="1"/>
                <w:color w:val="auto"/>
              </w:rPr>
            </w:pPr>
          </w:p>
        </w:tc>
        <w:tc>
          <w:tcPr>
            <w:tcW w:w="1840" w:type="dxa"/>
            <w:vAlign w:val="bottom"/>
            <w:tcBorders>
              <w:bottom w:val="single" w:sz="8" w:color="242424"/>
            </w:tcBorders>
          </w:tcPr>
          <w:p>
            <w:pPr>
              <w:spacing w:after="0" w:line="20" w:lineRule="exact"/>
              <w:rPr>
                <w:sz w:val="1"/>
                <w:szCs w:val="1"/>
                <w:color w:val="auto"/>
              </w:rPr>
            </w:pPr>
          </w:p>
        </w:tc>
        <w:tc>
          <w:tcPr>
            <w:tcW w:w="1280" w:type="dxa"/>
            <w:vAlign w:val="bottom"/>
            <w:tcBorders>
              <w:bottom w:val="single" w:sz="8" w:color="242424"/>
            </w:tcBorders>
          </w:tcPr>
          <w:p>
            <w:pPr>
              <w:spacing w:after="0" w:line="20" w:lineRule="exact"/>
              <w:rPr>
                <w:sz w:val="1"/>
                <w:szCs w:val="1"/>
                <w:color w:val="auto"/>
              </w:rPr>
            </w:pPr>
          </w:p>
        </w:tc>
      </w:tr>
      <w:tr>
        <w:trPr>
          <w:trHeight w:val="172"/>
        </w:trPr>
        <w:tc>
          <w:tcPr>
            <w:tcW w:w="678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Decrease (increase) in trade receivables and other assets</w:t>
            </w:r>
          </w:p>
        </w:tc>
        <w:tc>
          <w:tcPr>
            <w:tcW w:w="1320" w:type="dxa"/>
            <w:vAlign w:val="bottom"/>
            <w:tcBorders>
              <w:bottom w:val="single" w:sz="8" w:color="FDF5E7"/>
            </w:tcBorders>
            <w:shd w:val="clear" w:color="auto" w:fill="FDF5E7"/>
          </w:tcPr>
          <w:p>
            <w:pPr>
              <w:jc w:val="center"/>
              <w:ind w:right="58"/>
              <w:spacing w:after="0"/>
              <w:rPr>
                <w:sz w:val="20"/>
                <w:szCs w:val="20"/>
                <w:color w:val="auto"/>
              </w:rPr>
            </w:pPr>
            <w:r>
              <w:rPr>
                <w:rFonts w:ascii="Arial" w:cs="Arial" w:eastAsia="Arial" w:hAnsi="Arial"/>
                <w:sz w:val="12"/>
                <w:szCs w:val="12"/>
                <w:color w:val="3C3C3B"/>
                <w:w w:val="89"/>
              </w:rPr>
              <w:t>13</w:t>
            </w:r>
          </w:p>
        </w:tc>
        <w:tc>
          <w:tcPr>
            <w:tcW w:w="1840" w:type="dxa"/>
            <w:vAlign w:val="bottom"/>
            <w:tcBorders>
              <w:bottom w:val="single" w:sz="8" w:color="FDF5E7"/>
            </w:tcBorders>
            <w:shd w:val="clear" w:color="auto" w:fill="FDF5E7"/>
          </w:tcPr>
          <w:p>
            <w:pPr>
              <w:jc w:val="right"/>
              <w:ind w:right="298"/>
              <w:spacing w:after="0"/>
              <w:rPr>
                <w:sz w:val="20"/>
                <w:szCs w:val="20"/>
                <w:color w:val="auto"/>
              </w:rPr>
            </w:pPr>
            <w:r>
              <w:rPr>
                <w:rFonts w:ascii="Arial" w:cs="Arial" w:eastAsia="Arial" w:hAnsi="Arial"/>
                <w:sz w:val="12"/>
                <w:szCs w:val="12"/>
                <w:color w:val="auto"/>
              </w:rPr>
              <w:t>(39,413)</w:t>
            </w:r>
          </w:p>
        </w:tc>
        <w:tc>
          <w:tcPr>
            <w:tcW w:w="128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(37,840)</w:t>
            </w:r>
          </w:p>
        </w:tc>
      </w:tr>
      <w:tr>
        <w:trPr>
          <w:trHeight w:val="173"/>
        </w:trPr>
        <w:tc>
          <w:tcPr>
            <w:tcW w:w="6780" w:type="dxa"/>
            <w:vAlign w:val="bottom"/>
          </w:tcPr>
          <w:p>
            <w:pPr>
              <w:ind w:left="20"/>
              <w:spacing w:after="0"/>
              <w:rPr>
                <w:sz w:val="20"/>
                <w:szCs w:val="20"/>
                <w:color w:val="auto"/>
              </w:rPr>
            </w:pPr>
            <w:r>
              <w:rPr>
                <w:rFonts w:ascii="Arial" w:cs="Arial" w:eastAsia="Arial" w:hAnsi="Arial"/>
                <w:sz w:val="12"/>
                <w:szCs w:val="12"/>
                <w:color w:val="3C3C3B"/>
              </w:rPr>
              <w:t>(Decrease) increase in trade payables and other liabilities</w:t>
            </w:r>
          </w:p>
        </w:tc>
        <w:tc>
          <w:tcPr>
            <w:tcW w:w="1320" w:type="dxa"/>
            <w:vAlign w:val="bottom"/>
          </w:tcPr>
          <w:p>
            <w:pPr>
              <w:jc w:val="center"/>
              <w:ind w:right="58"/>
              <w:spacing w:after="0"/>
              <w:rPr>
                <w:sz w:val="20"/>
                <w:szCs w:val="20"/>
                <w:color w:val="auto"/>
              </w:rPr>
            </w:pPr>
            <w:r>
              <w:rPr>
                <w:rFonts w:ascii="Arial" w:cs="Arial" w:eastAsia="Arial" w:hAnsi="Arial"/>
                <w:sz w:val="12"/>
                <w:szCs w:val="12"/>
                <w:color w:val="3C3C3B"/>
                <w:w w:val="89"/>
              </w:rPr>
              <w:t>18</w:t>
            </w:r>
          </w:p>
        </w:tc>
        <w:tc>
          <w:tcPr>
            <w:tcW w:w="1840" w:type="dxa"/>
            <w:vAlign w:val="bottom"/>
          </w:tcPr>
          <w:p>
            <w:pPr>
              <w:jc w:val="right"/>
              <w:ind w:right="298"/>
              <w:spacing w:after="0"/>
              <w:rPr>
                <w:sz w:val="20"/>
                <w:szCs w:val="20"/>
                <w:color w:val="auto"/>
              </w:rPr>
            </w:pPr>
            <w:r>
              <w:rPr>
                <w:rFonts w:ascii="Arial" w:cs="Arial" w:eastAsia="Arial" w:hAnsi="Arial"/>
                <w:sz w:val="12"/>
                <w:szCs w:val="12"/>
                <w:color w:val="auto"/>
              </w:rPr>
              <w:t>(5,572)</w:t>
            </w:r>
          </w:p>
        </w:tc>
        <w:tc>
          <w:tcPr>
            <w:tcW w:w="1280" w:type="dxa"/>
            <w:vAlign w:val="bottom"/>
          </w:tcPr>
          <w:p>
            <w:pPr>
              <w:jc w:val="right"/>
              <w:spacing w:after="0"/>
              <w:rPr>
                <w:sz w:val="20"/>
                <w:szCs w:val="20"/>
                <w:color w:val="auto"/>
              </w:rPr>
            </w:pPr>
            <w:r>
              <w:rPr>
                <w:rFonts w:ascii="Arial" w:cs="Arial" w:eastAsia="Arial" w:hAnsi="Arial"/>
                <w:sz w:val="12"/>
                <w:szCs w:val="12"/>
                <w:color w:val="auto"/>
              </w:rPr>
              <w:t>9,606</w:t>
            </w:r>
          </w:p>
        </w:tc>
      </w:tr>
      <w:tr>
        <w:trPr>
          <w:trHeight w:val="205"/>
        </w:trPr>
        <w:tc>
          <w:tcPr>
            <w:tcW w:w="6780" w:type="dxa"/>
            <w:vAlign w:val="bottom"/>
          </w:tcPr>
          <w:p>
            <w:pPr>
              <w:ind w:left="20"/>
              <w:spacing w:after="0"/>
              <w:rPr>
                <w:sz w:val="20"/>
                <w:szCs w:val="20"/>
                <w:color w:val="auto"/>
              </w:rPr>
            </w:pPr>
            <w:r>
              <w:rPr>
                <w:rFonts w:ascii="Arial" w:cs="Arial" w:eastAsia="Arial" w:hAnsi="Arial"/>
                <w:sz w:val="12"/>
                <w:szCs w:val="12"/>
                <w:b w:val="1"/>
                <w:bCs w:val="1"/>
                <w:i w:val="1"/>
                <w:iCs w:val="1"/>
                <w:color w:val="3C3C3B"/>
              </w:rPr>
              <w:t>Change in working capital</w:t>
            </w:r>
          </w:p>
        </w:tc>
        <w:tc>
          <w:tcPr>
            <w:tcW w:w="1320" w:type="dxa"/>
            <w:vAlign w:val="bottom"/>
          </w:tcPr>
          <w:p>
            <w:pPr>
              <w:spacing w:after="0"/>
              <w:rPr>
                <w:sz w:val="17"/>
                <w:szCs w:val="17"/>
                <w:color w:val="auto"/>
              </w:rPr>
            </w:pPr>
          </w:p>
        </w:tc>
        <w:tc>
          <w:tcPr>
            <w:tcW w:w="1840" w:type="dxa"/>
            <w:vAlign w:val="bottom"/>
          </w:tcPr>
          <w:p>
            <w:pPr>
              <w:jc w:val="right"/>
              <w:ind w:right="298"/>
              <w:spacing w:after="0"/>
              <w:rPr>
                <w:sz w:val="20"/>
                <w:szCs w:val="20"/>
                <w:color w:val="auto"/>
              </w:rPr>
            </w:pPr>
            <w:r>
              <w:rPr>
                <w:rFonts w:ascii="Arial" w:cs="Arial" w:eastAsia="Arial" w:hAnsi="Arial"/>
                <w:sz w:val="12"/>
                <w:szCs w:val="12"/>
                <w:b w:val="1"/>
                <w:bCs w:val="1"/>
                <w:i w:val="1"/>
                <w:iCs w:val="1"/>
                <w:color w:val="auto"/>
              </w:rPr>
              <w:t>(44,984)</w:t>
            </w:r>
          </w:p>
        </w:tc>
        <w:tc>
          <w:tcPr>
            <w:tcW w:w="128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(28,234)</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678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Income tax paid</w:t>
            </w:r>
          </w:p>
        </w:tc>
        <w:tc>
          <w:tcPr>
            <w:tcW w:w="1320" w:type="dxa"/>
            <w:vAlign w:val="bottom"/>
            <w:tcBorders>
              <w:bottom w:val="single" w:sz="8" w:color="FDF5E7"/>
            </w:tcBorders>
            <w:shd w:val="clear" w:color="auto" w:fill="FDF5E7"/>
          </w:tcPr>
          <w:p>
            <w:pPr>
              <w:spacing w:after="0"/>
              <w:rPr>
                <w:sz w:val="16"/>
                <w:szCs w:val="16"/>
                <w:color w:val="auto"/>
              </w:rPr>
            </w:pPr>
          </w:p>
        </w:tc>
        <w:tc>
          <w:tcPr>
            <w:tcW w:w="1840" w:type="dxa"/>
            <w:vAlign w:val="bottom"/>
            <w:tcBorders>
              <w:bottom w:val="single" w:sz="8" w:color="FDF5E7"/>
            </w:tcBorders>
            <w:shd w:val="clear" w:color="auto" w:fill="FDF5E7"/>
          </w:tcPr>
          <w:p>
            <w:pPr>
              <w:jc w:val="right"/>
              <w:ind w:right="298"/>
              <w:spacing w:after="0"/>
              <w:rPr>
                <w:sz w:val="20"/>
                <w:szCs w:val="20"/>
                <w:color w:val="auto"/>
              </w:rPr>
            </w:pPr>
            <w:r>
              <w:rPr>
                <w:rFonts w:ascii="Arial" w:cs="Arial" w:eastAsia="Arial" w:hAnsi="Arial"/>
                <w:sz w:val="12"/>
                <w:szCs w:val="12"/>
                <w:color w:val="auto"/>
              </w:rPr>
              <w:t>(12)</w:t>
            </w:r>
          </w:p>
        </w:tc>
        <w:tc>
          <w:tcPr>
            <w:tcW w:w="128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w:t>
            </w:r>
          </w:p>
        </w:tc>
      </w:tr>
      <w:tr>
        <w:trPr>
          <w:trHeight w:val="172"/>
        </w:trPr>
        <w:tc>
          <w:tcPr>
            <w:tcW w:w="678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i w:val="1"/>
                <w:iCs w:val="1"/>
                <w:color w:val="3C3C3B"/>
              </w:rPr>
              <w:t>Net cash flows provided by (used in) in operating activities</w:t>
            </w:r>
          </w:p>
        </w:tc>
        <w:tc>
          <w:tcPr>
            <w:tcW w:w="132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jc w:val="right"/>
              <w:ind w:right="298"/>
              <w:spacing w:after="0"/>
              <w:rPr>
                <w:sz w:val="20"/>
                <w:szCs w:val="20"/>
                <w:color w:val="auto"/>
              </w:rPr>
            </w:pPr>
            <w:r>
              <w:rPr>
                <w:rFonts w:ascii="Arial" w:cs="Arial" w:eastAsia="Arial" w:hAnsi="Arial"/>
                <w:sz w:val="12"/>
                <w:szCs w:val="12"/>
                <w:b w:val="1"/>
                <w:bCs w:val="1"/>
                <w:i w:val="1"/>
                <w:iCs w:val="1"/>
                <w:color w:val="auto"/>
              </w:rPr>
              <w:t>(11,187)</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i w:val="1"/>
                <w:iCs w:val="1"/>
                <w:color w:val="auto"/>
              </w:rPr>
              <w:t>(30,102)</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2"/>
        </w:trPr>
        <w:tc>
          <w:tcPr>
            <w:tcW w:w="6780" w:type="dxa"/>
            <w:vAlign w:val="bottom"/>
          </w:tcPr>
          <w:p>
            <w:pPr>
              <w:ind w:left="20"/>
              <w:spacing w:after="0"/>
              <w:rPr>
                <w:sz w:val="20"/>
                <w:szCs w:val="20"/>
                <w:color w:val="auto"/>
              </w:rPr>
            </w:pPr>
            <w:r>
              <w:rPr>
                <w:rFonts w:ascii="Arial" w:cs="Arial" w:eastAsia="Arial" w:hAnsi="Arial"/>
                <w:sz w:val="12"/>
                <w:szCs w:val="12"/>
                <w:b w:val="1"/>
                <w:bCs w:val="1"/>
                <w:color w:val="E99D25"/>
              </w:rPr>
              <w:t>Cash flows from investment activities</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
        </w:trPr>
        <w:tc>
          <w:tcPr>
            <w:tcW w:w="6780" w:type="dxa"/>
            <w:vAlign w:val="bottom"/>
            <w:tcBorders>
              <w:bottom w:val="single" w:sz="8" w:color="E99D25"/>
            </w:tcBorders>
          </w:tcPr>
          <w:p>
            <w:pPr>
              <w:spacing w:after="0" w:line="20" w:lineRule="exact"/>
              <w:rPr>
                <w:sz w:val="1"/>
                <w:szCs w:val="1"/>
                <w:color w:val="auto"/>
              </w:rPr>
            </w:pPr>
          </w:p>
        </w:tc>
        <w:tc>
          <w:tcPr>
            <w:tcW w:w="1320" w:type="dxa"/>
            <w:vAlign w:val="bottom"/>
            <w:tcBorders>
              <w:bottom w:val="single" w:sz="8" w:color="E99D25"/>
            </w:tcBorders>
          </w:tcPr>
          <w:p>
            <w:pPr>
              <w:spacing w:after="0" w:line="20" w:lineRule="exact"/>
              <w:rPr>
                <w:sz w:val="1"/>
                <w:szCs w:val="1"/>
                <w:color w:val="auto"/>
              </w:rPr>
            </w:pPr>
          </w:p>
        </w:tc>
        <w:tc>
          <w:tcPr>
            <w:tcW w:w="1840" w:type="dxa"/>
            <w:vAlign w:val="bottom"/>
            <w:tcBorders>
              <w:bottom w:val="single" w:sz="8" w:color="E99D25"/>
            </w:tcBorders>
          </w:tcPr>
          <w:p>
            <w:pPr>
              <w:spacing w:after="0" w:line="20" w:lineRule="exact"/>
              <w:rPr>
                <w:sz w:val="1"/>
                <w:szCs w:val="1"/>
                <w:color w:val="auto"/>
              </w:rPr>
            </w:pPr>
          </w:p>
        </w:tc>
        <w:tc>
          <w:tcPr>
            <w:tcW w:w="1280" w:type="dxa"/>
            <w:vAlign w:val="bottom"/>
            <w:tcBorders>
              <w:bottom w:val="single" w:sz="8" w:color="E99D25"/>
            </w:tcBorders>
          </w:tcPr>
          <w:p>
            <w:pPr>
              <w:spacing w:after="0" w:line="20" w:lineRule="exact"/>
              <w:rPr>
                <w:sz w:val="1"/>
                <w:szCs w:val="1"/>
                <w:color w:val="auto"/>
              </w:rPr>
            </w:pPr>
          </w:p>
        </w:tc>
      </w:tr>
      <w:tr>
        <w:trPr>
          <w:trHeight w:val="166"/>
        </w:trPr>
        <w:tc>
          <w:tcPr>
            <w:tcW w:w="6780" w:type="dxa"/>
            <w:vAlign w:val="bottom"/>
          </w:tcPr>
          <w:p>
            <w:pPr>
              <w:ind w:left="60"/>
              <w:spacing w:after="0"/>
              <w:rPr>
                <w:sz w:val="20"/>
                <w:szCs w:val="20"/>
                <w:color w:val="auto"/>
              </w:rPr>
            </w:pPr>
            <w:r>
              <w:rPr>
                <w:rFonts w:ascii="Arial" w:cs="Arial" w:eastAsia="Arial" w:hAnsi="Arial"/>
                <w:sz w:val="12"/>
                <w:szCs w:val="12"/>
                <w:color w:val="3C3C3B"/>
              </w:rPr>
              <w:t>- Acquisition of other intangible assets</w:t>
            </w:r>
          </w:p>
        </w:tc>
        <w:tc>
          <w:tcPr>
            <w:tcW w:w="1320" w:type="dxa"/>
            <w:vAlign w:val="bottom"/>
          </w:tcPr>
          <w:p>
            <w:pPr>
              <w:jc w:val="center"/>
              <w:ind w:right="58"/>
              <w:spacing w:after="0"/>
              <w:rPr>
                <w:sz w:val="20"/>
                <w:szCs w:val="20"/>
                <w:color w:val="auto"/>
              </w:rPr>
            </w:pPr>
            <w:r>
              <w:rPr>
                <w:rFonts w:ascii="Arial" w:cs="Arial" w:eastAsia="Arial" w:hAnsi="Arial"/>
                <w:sz w:val="12"/>
                <w:szCs w:val="12"/>
                <w:color w:val="3C3C3B"/>
                <w:w w:val="89"/>
              </w:rPr>
              <w:t>15</w:t>
            </w:r>
          </w:p>
        </w:tc>
        <w:tc>
          <w:tcPr>
            <w:tcW w:w="184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(2,034)</w:t>
            </w:r>
          </w:p>
        </w:tc>
      </w:tr>
      <w:tr>
        <w:trPr>
          <w:trHeight w:val="26"/>
        </w:trPr>
        <w:tc>
          <w:tcPr>
            <w:tcW w:w="6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9"/>
        </w:trPr>
        <w:tc>
          <w:tcPr>
            <w:tcW w:w="6780" w:type="dxa"/>
            <w:vAlign w:val="bottom"/>
            <w:tcBorders>
              <w:bottom w:val="single" w:sz="8" w:color="FDF5E7"/>
            </w:tcBorders>
            <w:shd w:val="clear" w:color="auto" w:fill="FDF5E7"/>
          </w:tcPr>
          <w:p>
            <w:pPr>
              <w:ind w:left="60"/>
              <w:spacing w:after="0"/>
              <w:rPr>
                <w:sz w:val="20"/>
                <w:szCs w:val="20"/>
                <w:color w:val="auto"/>
              </w:rPr>
            </w:pPr>
            <w:r>
              <w:rPr>
                <w:rFonts w:ascii="Arial" w:cs="Arial" w:eastAsia="Arial" w:hAnsi="Arial"/>
                <w:sz w:val="12"/>
                <w:szCs w:val="12"/>
                <w:color w:val="3C3C3B"/>
              </w:rPr>
              <w:t>- Acquisition of property, plant and equipment</w:t>
            </w:r>
          </w:p>
        </w:tc>
        <w:tc>
          <w:tcPr>
            <w:tcW w:w="1320" w:type="dxa"/>
            <w:vAlign w:val="bottom"/>
            <w:tcBorders>
              <w:bottom w:val="single" w:sz="8" w:color="FDF5E7"/>
            </w:tcBorders>
            <w:shd w:val="clear" w:color="auto" w:fill="FDF5E7"/>
          </w:tcPr>
          <w:p>
            <w:pPr>
              <w:jc w:val="center"/>
              <w:ind w:right="58"/>
              <w:spacing w:after="0"/>
              <w:rPr>
                <w:sz w:val="20"/>
                <w:szCs w:val="20"/>
                <w:color w:val="auto"/>
              </w:rPr>
            </w:pPr>
            <w:r>
              <w:rPr>
                <w:rFonts w:ascii="Arial" w:cs="Arial" w:eastAsia="Arial" w:hAnsi="Arial"/>
                <w:sz w:val="12"/>
                <w:szCs w:val="12"/>
                <w:color w:val="3C3C3B"/>
                <w:w w:val="89"/>
              </w:rPr>
              <w:t>25</w:t>
            </w:r>
          </w:p>
        </w:tc>
        <w:tc>
          <w:tcPr>
            <w:tcW w:w="1840" w:type="dxa"/>
            <w:vAlign w:val="bottom"/>
            <w:tcBorders>
              <w:bottom w:val="single" w:sz="8" w:color="FDF5E7"/>
            </w:tcBorders>
            <w:shd w:val="clear" w:color="auto" w:fill="FDF5E7"/>
          </w:tcPr>
          <w:p>
            <w:pPr>
              <w:jc w:val="right"/>
              <w:ind w:right="298"/>
              <w:spacing w:after="0"/>
              <w:rPr>
                <w:sz w:val="20"/>
                <w:szCs w:val="20"/>
                <w:color w:val="auto"/>
              </w:rPr>
            </w:pPr>
            <w:r>
              <w:rPr>
                <w:rFonts w:ascii="Arial" w:cs="Arial" w:eastAsia="Arial" w:hAnsi="Arial"/>
                <w:sz w:val="12"/>
                <w:szCs w:val="12"/>
                <w:color w:val="auto"/>
              </w:rPr>
              <w:t>(737)</w:t>
            </w:r>
          </w:p>
        </w:tc>
        <w:tc>
          <w:tcPr>
            <w:tcW w:w="128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(1,054)</w:t>
            </w:r>
          </w:p>
        </w:tc>
      </w:tr>
      <w:tr>
        <w:trPr>
          <w:trHeight w:val="173"/>
        </w:trPr>
        <w:tc>
          <w:tcPr>
            <w:tcW w:w="6780" w:type="dxa"/>
            <w:vAlign w:val="bottom"/>
          </w:tcPr>
          <w:p>
            <w:pPr>
              <w:ind w:left="60"/>
              <w:spacing w:after="0"/>
              <w:rPr>
                <w:sz w:val="20"/>
                <w:szCs w:val="20"/>
                <w:color w:val="auto"/>
              </w:rPr>
            </w:pPr>
            <w:r>
              <w:rPr>
                <w:rFonts w:ascii="Arial" w:cs="Arial" w:eastAsia="Arial" w:hAnsi="Arial"/>
                <w:sz w:val="12"/>
                <w:szCs w:val="12"/>
                <w:color w:val="3C3C3B"/>
              </w:rPr>
              <w:t>+ Proceeds from disposal of / reimbursement of property, plant and equipment</w:t>
            </w:r>
          </w:p>
        </w:tc>
        <w:tc>
          <w:tcPr>
            <w:tcW w:w="1320" w:type="dxa"/>
            <w:vAlign w:val="bottom"/>
          </w:tcPr>
          <w:p>
            <w:pPr>
              <w:spacing w:after="0"/>
              <w:rPr>
                <w:sz w:val="15"/>
                <w:szCs w:val="15"/>
                <w:color w:val="auto"/>
              </w:rPr>
            </w:pPr>
          </w:p>
        </w:tc>
        <w:tc>
          <w:tcPr>
            <w:tcW w:w="1840" w:type="dxa"/>
            <w:vAlign w:val="bottom"/>
          </w:tcPr>
          <w:p>
            <w:pPr>
              <w:jc w:val="right"/>
              <w:ind w:right="338"/>
              <w:spacing w:after="0"/>
              <w:rPr>
                <w:sz w:val="20"/>
                <w:szCs w:val="20"/>
                <w:color w:val="auto"/>
              </w:rPr>
            </w:pPr>
            <w:r>
              <w:rPr>
                <w:rFonts w:ascii="Arial" w:cs="Arial" w:eastAsia="Arial" w:hAnsi="Arial"/>
                <w:sz w:val="12"/>
                <w:szCs w:val="12"/>
                <w:color w:val="auto"/>
              </w:rPr>
              <w:t>78</w:t>
            </w:r>
          </w:p>
        </w:tc>
        <w:tc>
          <w:tcPr>
            <w:tcW w:w="128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26"/>
        </w:trPr>
        <w:tc>
          <w:tcPr>
            <w:tcW w:w="6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9"/>
        </w:trPr>
        <w:tc>
          <w:tcPr>
            <w:tcW w:w="6780" w:type="dxa"/>
            <w:vAlign w:val="bottom"/>
            <w:tcBorders>
              <w:bottom w:val="single" w:sz="8" w:color="FDF5E7"/>
            </w:tcBorders>
            <w:shd w:val="clear" w:color="auto" w:fill="FDF5E7"/>
          </w:tcPr>
          <w:p>
            <w:pPr>
              <w:ind w:left="60"/>
              <w:spacing w:after="0"/>
              <w:rPr>
                <w:sz w:val="20"/>
                <w:szCs w:val="20"/>
                <w:color w:val="auto"/>
              </w:rPr>
            </w:pPr>
            <w:r>
              <w:rPr>
                <w:rFonts w:ascii="Arial" w:cs="Arial" w:eastAsia="Arial" w:hAnsi="Arial"/>
                <w:sz w:val="12"/>
                <w:szCs w:val="12"/>
                <w:color w:val="3C3C3B"/>
              </w:rPr>
              <w:t>- Acquisition of financial instruments</w:t>
            </w:r>
          </w:p>
        </w:tc>
        <w:tc>
          <w:tcPr>
            <w:tcW w:w="1320" w:type="dxa"/>
            <w:vAlign w:val="bottom"/>
            <w:tcBorders>
              <w:bottom w:val="single" w:sz="8" w:color="FDF5E7"/>
            </w:tcBorders>
            <w:shd w:val="clear" w:color="auto" w:fill="FDF5E7"/>
          </w:tcPr>
          <w:p>
            <w:pPr>
              <w:spacing w:after="0"/>
              <w:rPr>
                <w:sz w:val="15"/>
                <w:szCs w:val="15"/>
                <w:color w:val="auto"/>
              </w:rPr>
            </w:pPr>
          </w:p>
        </w:tc>
        <w:tc>
          <w:tcPr>
            <w:tcW w:w="1840" w:type="dxa"/>
            <w:vAlign w:val="bottom"/>
            <w:tcBorders>
              <w:bottom w:val="single" w:sz="8" w:color="FDF5E7"/>
            </w:tcBorders>
            <w:shd w:val="clear" w:color="auto" w:fill="FDF5E7"/>
          </w:tcPr>
          <w:p>
            <w:pPr>
              <w:jc w:val="right"/>
              <w:ind w:right="298"/>
              <w:spacing w:after="0"/>
              <w:rPr>
                <w:sz w:val="20"/>
                <w:szCs w:val="20"/>
                <w:color w:val="auto"/>
              </w:rPr>
            </w:pPr>
            <w:r>
              <w:rPr>
                <w:rFonts w:ascii="Arial" w:cs="Arial" w:eastAsia="Arial" w:hAnsi="Arial"/>
                <w:sz w:val="12"/>
                <w:szCs w:val="12"/>
                <w:color w:val="auto"/>
              </w:rPr>
              <w:t>(28)</w:t>
            </w:r>
          </w:p>
        </w:tc>
        <w:tc>
          <w:tcPr>
            <w:tcW w:w="128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(170)</w:t>
            </w:r>
          </w:p>
        </w:tc>
      </w:tr>
      <w:tr>
        <w:trPr>
          <w:trHeight w:val="178"/>
        </w:trPr>
        <w:tc>
          <w:tcPr>
            <w:tcW w:w="6780" w:type="dxa"/>
            <w:vAlign w:val="bottom"/>
          </w:tcPr>
          <w:p>
            <w:pPr>
              <w:ind w:left="20"/>
              <w:spacing w:after="0"/>
              <w:rPr>
                <w:sz w:val="20"/>
                <w:szCs w:val="20"/>
                <w:color w:val="auto"/>
              </w:rPr>
            </w:pPr>
            <w:r>
              <w:rPr>
                <w:rFonts w:ascii="Arial" w:cs="Arial" w:eastAsia="Arial" w:hAnsi="Arial"/>
                <w:sz w:val="12"/>
                <w:szCs w:val="12"/>
                <w:b w:val="1"/>
                <w:bCs w:val="1"/>
                <w:i w:val="1"/>
                <w:iCs w:val="1"/>
                <w:color w:val="3C3C3B"/>
              </w:rPr>
              <w:t>Net cash flows provided by (used in ) investment activities</w:t>
            </w:r>
          </w:p>
        </w:tc>
        <w:tc>
          <w:tcPr>
            <w:tcW w:w="1320" w:type="dxa"/>
            <w:vAlign w:val="bottom"/>
          </w:tcPr>
          <w:p>
            <w:pPr>
              <w:spacing w:after="0"/>
              <w:rPr>
                <w:sz w:val="15"/>
                <w:szCs w:val="15"/>
                <w:color w:val="auto"/>
              </w:rPr>
            </w:pPr>
          </w:p>
        </w:tc>
        <w:tc>
          <w:tcPr>
            <w:tcW w:w="1840" w:type="dxa"/>
            <w:vAlign w:val="bottom"/>
          </w:tcPr>
          <w:p>
            <w:pPr>
              <w:jc w:val="right"/>
              <w:ind w:right="298"/>
              <w:spacing w:after="0"/>
              <w:rPr>
                <w:sz w:val="20"/>
                <w:szCs w:val="20"/>
                <w:color w:val="auto"/>
              </w:rPr>
            </w:pPr>
            <w:r>
              <w:rPr>
                <w:rFonts w:ascii="Arial" w:cs="Arial" w:eastAsia="Arial" w:hAnsi="Arial"/>
                <w:sz w:val="12"/>
                <w:szCs w:val="12"/>
                <w:b w:val="1"/>
                <w:bCs w:val="1"/>
                <w:i w:val="1"/>
                <w:iCs w:val="1"/>
                <w:color w:val="auto"/>
              </w:rPr>
              <w:t>(687)</w:t>
            </w:r>
          </w:p>
        </w:tc>
        <w:tc>
          <w:tcPr>
            <w:tcW w:w="128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(3,219)</w:t>
            </w:r>
          </w:p>
        </w:tc>
      </w:tr>
      <w:tr>
        <w:trPr>
          <w:trHeight w:val="20"/>
        </w:trPr>
        <w:tc>
          <w:tcPr>
            <w:tcW w:w="6780" w:type="dxa"/>
            <w:vAlign w:val="bottom"/>
            <w:tcBorders>
              <w:bottom w:val="single" w:sz="8" w:color="242424"/>
            </w:tcBorders>
          </w:tcPr>
          <w:p>
            <w:pPr>
              <w:spacing w:after="0" w:line="20" w:lineRule="exact"/>
              <w:rPr>
                <w:sz w:val="1"/>
                <w:szCs w:val="1"/>
                <w:color w:val="auto"/>
              </w:rPr>
            </w:pPr>
          </w:p>
        </w:tc>
        <w:tc>
          <w:tcPr>
            <w:tcW w:w="1320" w:type="dxa"/>
            <w:vAlign w:val="bottom"/>
            <w:tcBorders>
              <w:bottom w:val="single" w:sz="8" w:color="242424"/>
            </w:tcBorders>
          </w:tcPr>
          <w:p>
            <w:pPr>
              <w:spacing w:after="0" w:line="20" w:lineRule="exact"/>
              <w:rPr>
                <w:sz w:val="1"/>
                <w:szCs w:val="1"/>
                <w:color w:val="auto"/>
              </w:rPr>
            </w:pPr>
          </w:p>
        </w:tc>
        <w:tc>
          <w:tcPr>
            <w:tcW w:w="1840" w:type="dxa"/>
            <w:vAlign w:val="bottom"/>
            <w:tcBorders>
              <w:bottom w:val="single" w:sz="8" w:color="242424"/>
            </w:tcBorders>
          </w:tcPr>
          <w:p>
            <w:pPr>
              <w:spacing w:after="0" w:line="20" w:lineRule="exact"/>
              <w:rPr>
                <w:sz w:val="1"/>
                <w:szCs w:val="1"/>
                <w:color w:val="auto"/>
              </w:rPr>
            </w:pPr>
          </w:p>
        </w:tc>
        <w:tc>
          <w:tcPr>
            <w:tcW w:w="1280" w:type="dxa"/>
            <w:vAlign w:val="bottom"/>
            <w:tcBorders>
              <w:bottom w:val="single" w:sz="8" w:color="242424"/>
            </w:tcBorders>
          </w:tcPr>
          <w:p>
            <w:pPr>
              <w:spacing w:after="0" w:line="20" w:lineRule="exact"/>
              <w:rPr>
                <w:sz w:val="1"/>
                <w:szCs w:val="1"/>
                <w:color w:val="auto"/>
              </w:rPr>
            </w:pPr>
          </w:p>
        </w:tc>
      </w:tr>
      <w:tr>
        <w:trPr>
          <w:trHeight w:val="172"/>
        </w:trPr>
        <w:tc>
          <w:tcPr>
            <w:tcW w:w="6780" w:type="dxa"/>
            <w:vAlign w:val="bottom"/>
          </w:tcPr>
          <w:p>
            <w:pPr>
              <w:ind w:left="20"/>
              <w:spacing w:after="0"/>
              <w:rPr>
                <w:sz w:val="20"/>
                <w:szCs w:val="20"/>
                <w:color w:val="auto"/>
              </w:rPr>
            </w:pPr>
            <w:r>
              <w:rPr>
                <w:rFonts w:ascii="Arial" w:cs="Arial" w:eastAsia="Arial" w:hAnsi="Arial"/>
                <w:sz w:val="12"/>
                <w:szCs w:val="12"/>
                <w:b w:val="1"/>
                <w:bCs w:val="1"/>
                <w:color w:val="E99D25"/>
              </w:rPr>
              <w:t>Cash flows from financing activities</w:t>
            </w:r>
          </w:p>
        </w:tc>
        <w:tc>
          <w:tcPr>
            <w:tcW w:w="1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
        </w:trPr>
        <w:tc>
          <w:tcPr>
            <w:tcW w:w="6780" w:type="dxa"/>
            <w:vAlign w:val="bottom"/>
            <w:tcBorders>
              <w:bottom w:val="single" w:sz="8" w:color="E99D25"/>
            </w:tcBorders>
          </w:tcPr>
          <w:p>
            <w:pPr>
              <w:spacing w:after="0" w:line="20" w:lineRule="exact"/>
              <w:rPr>
                <w:sz w:val="1"/>
                <w:szCs w:val="1"/>
                <w:color w:val="auto"/>
              </w:rPr>
            </w:pPr>
          </w:p>
        </w:tc>
        <w:tc>
          <w:tcPr>
            <w:tcW w:w="1320" w:type="dxa"/>
            <w:vAlign w:val="bottom"/>
            <w:tcBorders>
              <w:bottom w:val="single" w:sz="8" w:color="E99D25"/>
            </w:tcBorders>
          </w:tcPr>
          <w:p>
            <w:pPr>
              <w:spacing w:after="0" w:line="20" w:lineRule="exact"/>
              <w:rPr>
                <w:sz w:val="1"/>
                <w:szCs w:val="1"/>
                <w:color w:val="auto"/>
              </w:rPr>
            </w:pPr>
          </w:p>
        </w:tc>
        <w:tc>
          <w:tcPr>
            <w:tcW w:w="1840" w:type="dxa"/>
            <w:vAlign w:val="bottom"/>
            <w:tcBorders>
              <w:bottom w:val="single" w:sz="8" w:color="E99D25"/>
            </w:tcBorders>
          </w:tcPr>
          <w:p>
            <w:pPr>
              <w:spacing w:after="0" w:line="20" w:lineRule="exact"/>
              <w:rPr>
                <w:sz w:val="1"/>
                <w:szCs w:val="1"/>
                <w:color w:val="auto"/>
              </w:rPr>
            </w:pPr>
          </w:p>
        </w:tc>
        <w:tc>
          <w:tcPr>
            <w:tcW w:w="1280" w:type="dxa"/>
            <w:vAlign w:val="bottom"/>
            <w:tcBorders>
              <w:bottom w:val="single" w:sz="8" w:color="E99D25"/>
            </w:tcBorders>
          </w:tcPr>
          <w:p>
            <w:pPr>
              <w:spacing w:after="0" w:line="20" w:lineRule="exact"/>
              <w:rPr>
                <w:sz w:val="1"/>
                <w:szCs w:val="1"/>
                <w:color w:val="auto"/>
              </w:rPr>
            </w:pPr>
          </w:p>
        </w:tc>
      </w:tr>
      <w:tr>
        <w:trPr>
          <w:trHeight w:val="166"/>
        </w:trPr>
        <w:tc>
          <w:tcPr>
            <w:tcW w:w="6780" w:type="dxa"/>
            <w:vAlign w:val="bottom"/>
          </w:tcPr>
          <w:p>
            <w:pPr>
              <w:ind w:left="60"/>
              <w:spacing w:after="0"/>
              <w:rPr>
                <w:sz w:val="20"/>
                <w:szCs w:val="20"/>
                <w:color w:val="auto"/>
              </w:rPr>
            </w:pPr>
            <w:r>
              <w:rPr>
                <w:rFonts w:ascii="Arial" w:cs="Arial" w:eastAsia="Arial" w:hAnsi="Arial"/>
                <w:sz w:val="12"/>
                <w:szCs w:val="12"/>
                <w:color w:val="3C3C3B"/>
              </w:rPr>
              <w:t>+ Proceeds from issue of share capital (net)</w:t>
            </w:r>
          </w:p>
        </w:tc>
        <w:tc>
          <w:tcPr>
            <w:tcW w:w="1320" w:type="dxa"/>
            <w:vAlign w:val="bottom"/>
          </w:tcPr>
          <w:p>
            <w:pPr>
              <w:spacing w:after="0"/>
              <w:rPr>
                <w:sz w:val="14"/>
                <w:szCs w:val="14"/>
                <w:color w:val="auto"/>
              </w:rPr>
            </w:pPr>
          </w:p>
        </w:tc>
        <w:tc>
          <w:tcPr>
            <w:tcW w:w="184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26"/>
        </w:trPr>
        <w:tc>
          <w:tcPr>
            <w:tcW w:w="6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9"/>
        </w:trPr>
        <w:tc>
          <w:tcPr>
            <w:tcW w:w="6780" w:type="dxa"/>
            <w:vAlign w:val="bottom"/>
            <w:tcBorders>
              <w:bottom w:val="single" w:sz="8" w:color="FDF5E7"/>
            </w:tcBorders>
            <w:shd w:val="clear" w:color="auto" w:fill="FDF5E7"/>
          </w:tcPr>
          <w:p>
            <w:pPr>
              <w:ind w:left="60"/>
              <w:spacing w:after="0"/>
              <w:rPr>
                <w:sz w:val="20"/>
                <w:szCs w:val="20"/>
                <w:color w:val="auto"/>
              </w:rPr>
            </w:pPr>
            <w:r>
              <w:rPr>
                <w:rFonts w:ascii="Arial" w:cs="Arial" w:eastAsia="Arial" w:hAnsi="Arial"/>
                <w:sz w:val="12"/>
                <w:szCs w:val="12"/>
                <w:color w:val="3C3C3B"/>
              </w:rPr>
              <w:t>+ Proceeds from new loans and borrowings</w:t>
            </w:r>
          </w:p>
        </w:tc>
        <w:tc>
          <w:tcPr>
            <w:tcW w:w="1320" w:type="dxa"/>
            <w:vAlign w:val="bottom"/>
            <w:tcBorders>
              <w:bottom w:val="single" w:sz="8" w:color="FDF5E7"/>
            </w:tcBorders>
            <w:shd w:val="clear" w:color="auto" w:fill="FDF5E7"/>
          </w:tcPr>
          <w:p>
            <w:pPr>
              <w:jc w:val="center"/>
              <w:ind w:right="58"/>
              <w:spacing w:after="0"/>
              <w:rPr>
                <w:sz w:val="20"/>
                <w:szCs w:val="20"/>
                <w:color w:val="auto"/>
              </w:rPr>
            </w:pPr>
            <w:r>
              <w:rPr>
                <w:rFonts w:ascii="Arial" w:cs="Arial" w:eastAsia="Arial" w:hAnsi="Arial"/>
                <w:sz w:val="12"/>
                <w:szCs w:val="12"/>
                <w:color w:val="3C3C3B"/>
                <w:w w:val="89"/>
              </w:rPr>
              <w:t>17</w:t>
            </w:r>
          </w:p>
        </w:tc>
        <w:tc>
          <w:tcPr>
            <w:tcW w:w="1840" w:type="dxa"/>
            <w:vAlign w:val="bottom"/>
            <w:tcBorders>
              <w:bottom w:val="single" w:sz="8" w:color="FDF5E7"/>
            </w:tcBorders>
            <w:shd w:val="clear" w:color="auto" w:fill="FDF5E7"/>
          </w:tcPr>
          <w:p>
            <w:pPr>
              <w:jc w:val="right"/>
              <w:ind w:right="338"/>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130,020</w:t>
            </w:r>
          </w:p>
        </w:tc>
      </w:tr>
      <w:tr>
        <w:trPr>
          <w:trHeight w:val="173"/>
        </w:trPr>
        <w:tc>
          <w:tcPr>
            <w:tcW w:w="6780" w:type="dxa"/>
            <w:vAlign w:val="bottom"/>
          </w:tcPr>
          <w:p>
            <w:pPr>
              <w:ind w:left="60"/>
              <w:spacing w:after="0"/>
              <w:rPr>
                <w:sz w:val="20"/>
                <w:szCs w:val="20"/>
                <w:color w:val="auto"/>
              </w:rPr>
            </w:pPr>
            <w:r>
              <w:rPr>
                <w:rFonts w:ascii="Arial" w:cs="Arial" w:eastAsia="Arial" w:hAnsi="Arial"/>
                <w:sz w:val="12"/>
                <w:szCs w:val="12"/>
                <w:color w:val="3C3C3B"/>
              </w:rPr>
              <w:t>- Repayments of loans and borrowings</w:t>
            </w:r>
          </w:p>
        </w:tc>
        <w:tc>
          <w:tcPr>
            <w:tcW w:w="1320" w:type="dxa"/>
            <w:vAlign w:val="bottom"/>
          </w:tcPr>
          <w:p>
            <w:pPr>
              <w:jc w:val="center"/>
              <w:ind w:right="58"/>
              <w:spacing w:after="0"/>
              <w:rPr>
                <w:sz w:val="20"/>
                <w:szCs w:val="20"/>
                <w:color w:val="auto"/>
              </w:rPr>
            </w:pPr>
            <w:r>
              <w:rPr>
                <w:rFonts w:ascii="Arial" w:cs="Arial" w:eastAsia="Arial" w:hAnsi="Arial"/>
                <w:sz w:val="12"/>
                <w:szCs w:val="12"/>
                <w:color w:val="3C3C3B"/>
                <w:w w:val="89"/>
              </w:rPr>
              <w:t>17</w:t>
            </w:r>
          </w:p>
        </w:tc>
        <w:tc>
          <w:tcPr>
            <w:tcW w:w="1840" w:type="dxa"/>
            <w:vAlign w:val="bottom"/>
          </w:tcPr>
          <w:p>
            <w:pPr>
              <w:jc w:val="right"/>
              <w:ind w:right="298"/>
              <w:spacing w:after="0"/>
              <w:rPr>
                <w:sz w:val="20"/>
                <w:szCs w:val="20"/>
                <w:color w:val="auto"/>
              </w:rPr>
            </w:pPr>
            <w:r>
              <w:rPr>
                <w:rFonts w:ascii="Arial" w:cs="Arial" w:eastAsia="Arial" w:hAnsi="Arial"/>
                <w:sz w:val="12"/>
                <w:szCs w:val="12"/>
                <w:color w:val="auto"/>
              </w:rPr>
              <w:t>(3,143)</w:t>
            </w:r>
          </w:p>
        </w:tc>
        <w:tc>
          <w:tcPr>
            <w:tcW w:w="1280" w:type="dxa"/>
            <w:vAlign w:val="bottom"/>
          </w:tcPr>
          <w:p>
            <w:pPr>
              <w:jc w:val="right"/>
              <w:spacing w:after="0"/>
              <w:rPr>
                <w:sz w:val="20"/>
                <w:szCs w:val="20"/>
                <w:color w:val="auto"/>
              </w:rPr>
            </w:pPr>
            <w:r>
              <w:rPr>
                <w:rFonts w:ascii="Arial" w:cs="Arial" w:eastAsia="Arial" w:hAnsi="Arial"/>
                <w:sz w:val="12"/>
                <w:szCs w:val="12"/>
                <w:color w:val="auto"/>
              </w:rPr>
              <w:t>(62,105)</w:t>
            </w:r>
          </w:p>
        </w:tc>
      </w:tr>
      <w:tr>
        <w:trPr>
          <w:trHeight w:val="26"/>
        </w:trPr>
        <w:tc>
          <w:tcPr>
            <w:tcW w:w="6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9"/>
        </w:trPr>
        <w:tc>
          <w:tcPr>
            <w:tcW w:w="6780" w:type="dxa"/>
            <w:vAlign w:val="bottom"/>
            <w:tcBorders>
              <w:bottom w:val="single" w:sz="8" w:color="FDF5E7"/>
            </w:tcBorders>
            <w:shd w:val="clear" w:color="auto" w:fill="FDF5E7"/>
          </w:tcPr>
          <w:p>
            <w:pPr>
              <w:ind w:left="60"/>
              <w:spacing w:after="0"/>
              <w:rPr>
                <w:sz w:val="20"/>
                <w:szCs w:val="20"/>
                <w:color w:val="auto"/>
              </w:rPr>
            </w:pPr>
            <w:r>
              <w:rPr>
                <w:rFonts w:ascii="Arial" w:cs="Arial" w:eastAsia="Arial" w:hAnsi="Arial"/>
                <w:sz w:val="12"/>
                <w:szCs w:val="12"/>
                <w:color w:val="3C3C3B"/>
              </w:rPr>
              <w:t>- Repayments of royalty financing liability</w:t>
            </w:r>
          </w:p>
        </w:tc>
        <w:tc>
          <w:tcPr>
            <w:tcW w:w="1320" w:type="dxa"/>
            <w:vAlign w:val="bottom"/>
            <w:tcBorders>
              <w:bottom w:val="single" w:sz="8" w:color="FDF5E7"/>
            </w:tcBorders>
            <w:shd w:val="clear" w:color="auto" w:fill="FDF5E7"/>
          </w:tcPr>
          <w:p>
            <w:pPr>
              <w:jc w:val="center"/>
              <w:ind w:right="58"/>
              <w:spacing w:after="0"/>
              <w:rPr>
                <w:sz w:val="20"/>
                <w:szCs w:val="20"/>
                <w:color w:val="auto"/>
              </w:rPr>
            </w:pPr>
            <w:r>
              <w:rPr>
                <w:rFonts w:ascii="Arial" w:cs="Arial" w:eastAsia="Arial" w:hAnsi="Arial"/>
                <w:sz w:val="12"/>
                <w:szCs w:val="12"/>
                <w:color w:val="3C3C3B"/>
                <w:w w:val="89"/>
              </w:rPr>
              <w:t>17</w:t>
            </w:r>
          </w:p>
        </w:tc>
        <w:tc>
          <w:tcPr>
            <w:tcW w:w="1840" w:type="dxa"/>
            <w:vAlign w:val="bottom"/>
            <w:tcBorders>
              <w:bottom w:val="single" w:sz="8" w:color="FDF5E7"/>
            </w:tcBorders>
            <w:shd w:val="clear" w:color="auto" w:fill="FDF5E7"/>
          </w:tcPr>
          <w:p>
            <w:pPr>
              <w:jc w:val="right"/>
              <w:ind w:right="338"/>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(4,492)</w:t>
            </w:r>
          </w:p>
        </w:tc>
      </w:tr>
      <w:tr>
        <w:trPr>
          <w:trHeight w:val="173"/>
        </w:trPr>
        <w:tc>
          <w:tcPr>
            <w:tcW w:w="6780" w:type="dxa"/>
            <w:vAlign w:val="bottom"/>
          </w:tcPr>
          <w:p>
            <w:pPr>
              <w:ind w:left="60"/>
              <w:spacing w:after="0"/>
              <w:rPr>
                <w:sz w:val="20"/>
                <w:szCs w:val="20"/>
                <w:color w:val="auto"/>
              </w:rPr>
            </w:pPr>
            <w:r>
              <w:rPr>
                <w:rFonts w:ascii="Arial" w:cs="Arial" w:eastAsia="Arial" w:hAnsi="Arial"/>
                <w:sz w:val="12"/>
                <w:szCs w:val="12"/>
                <w:color w:val="3C3C3B"/>
              </w:rPr>
              <w:t>- Payments of debt issuance costs</w:t>
            </w:r>
          </w:p>
        </w:tc>
        <w:tc>
          <w:tcPr>
            <w:tcW w:w="1320" w:type="dxa"/>
            <w:vAlign w:val="bottom"/>
          </w:tcPr>
          <w:p>
            <w:pPr>
              <w:jc w:val="center"/>
              <w:ind w:right="58"/>
              <w:spacing w:after="0"/>
              <w:rPr>
                <w:sz w:val="20"/>
                <w:szCs w:val="20"/>
                <w:color w:val="auto"/>
              </w:rPr>
            </w:pPr>
            <w:r>
              <w:rPr>
                <w:rFonts w:ascii="Arial" w:cs="Arial" w:eastAsia="Arial" w:hAnsi="Arial"/>
                <w:sz w:val="12"/>
                <w:szCs w:val="12"/>
                <w:color w:val="3C3C3B"/>
                <w:w w:val="89"/>
              </w:rPr>
              <w:t>17</w:t>
            </w:r>
          </w:p>
        </w:tc>
        <w:tc>
          <w:tcPr>
            <w:tcW w:w="184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(3,363)</w:t>
            </w:r>
          </w:p>
        </w:tc>
      </w:tr>
      <w:tr>
        <w:trPr>
          <w:trHeight w:val="26"/>
        </w:trPr>
        <w:tc>
          <w:tcPr>
            <w:tcW w:w="6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9"/>
        </w:trPr>
        <w:tc>
          <w:tcPr>
            <w:tcW w:w="6780" w:type="dxa"/>
            <w:vAlign w:val="bottom"/>
            <w:tcBorders>
              <w:bottom w:val="single" w:sz="8" w:color="FDF5E7"/>
            </w:tcBorders>
            <w:shd w:val="clear" w:color="auto" w:fill="FDF5E7"/>
          </w:tcPr>
          <w:p>
            <w:pPr>
              <w:ind w:left="60"/>
              <w:spacing w:after="0"/>
              <w:rPr>
                <w:sz w:val="20"/>
                <w:szCs w:val="20"/>
                <w:color w:val="auto"/>
              </w:rPr>
            </w:pPr>
            <w:r>
              <w:rPr>
                <w:rFonts w:ascii="Arial" w:cs="Arial" w:eastAsia="Arial" w:hAnsi="Arial"/>
                <w:sz w:val="12"/>
                <w:szCs w:val="12"/>
                <w:color w:val="3C3C3B"/>
              </w:rPr>
              <w:t>- Payments on lease debts</w:t>
            </w:r>
          </w:p>
        </w:tc>
        <w:tc>
          <w:tcPr>
            <w:tcW w:w="1320" w:type="dxa"/>
            <w:vAlign w:val="bottom"/>
            <w:tcBorders>
              <w:bottom w:val="single" w:sz="8" w:color="FDF5E7"/>
            </w:tcBorders>
            <w:shd w:val="clear" w:color="auto" w:fill="FDF5E7"/>
          </w:tcPr>
          <w:p>
            <w:pPr>
              <w:spacing w:after="0"/>
              <w:rPr>
                <w:sz w:val="15"/>
                <w:szCs w:val="15"/>
                <w:color w:val="auto"/>
              </w:rPr>
            </w:pPr>
          </w:p>
        </w:tc>
        <w:tc>
          <w:tcPr>
            <w:tcW w:w="1840" w:type="dxa"/>
            <w:vAlign w:val="bottom"/>
            <w:tcBorders>
              <w:bottom w:val="single" w:sz="8" w:color="FDF5E7"/>
            </w:tcBorders>
            <w:shd w:val="clear" w:color="auto" w:fill="FDF5E7"/>
          </w:tcPr>
          <w:p>
            <w:pPr>
              <w:jc w:val="right"/>
              <w:ind w:right="298"/>
              <w:spacing w:after="0"/>
              <w:rPr>
                <w:sz w:val="20"/>
                <w:szCs w:val="20"/>
                <w:color w:val="auto"/>
              </w:rPr>
            </w:pPr>
            <w:r>
              <w:rPr>
                <w:rFonts w:ascii="Arial" w:cs="Arial" w:eastAsia="Arial" w:hAnsi="Arial"/>
                <w:sz w:val="12"/>
                <w:szCs w:val="12"/>
                <w:color w:val="auto"/>
              </w:rPr>
              <w:t>(545)</w:t>
            </w:r>
          </w:p>
        </w:tc>
        <w:tc>
          <w:tcPr>
            <w:tcW w:w="128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(555)</w:t>
            </w:r>
          </w:p>
        </w:tc>
      </w:tr>
      <w:tr>
        <w:trPr>
          <w:trHeight w:val="173"/>
        </w:trPr>
        <w:tc>
          <w:tcPr>
            <w:tcW w:w="6780" w:type="dxa"/>
            <w:vAlign w:val="bottom"/>
          </w:tcPr>
          <w:p>
            <w:pPr>
              <w:ind w:left="60"/>
              <w:spacing w:after="0"/>
              <w:rPr>
                <w:sz w:val="20"/>
                <w:szCs w:val="20"/>
                <w:color w:val="auto"/>
              </w:rPr>
            </w:pPr>
            <w:r>
              <w:rPr>
                <w:rFonts w:ascii="Arial" w:cs="Arial" w:eastAsia="Arial" w:hAnsi="Arial"/>
                <w:sz w:val="12"/>
                <w:szCs w:val="12"/>
                <w:color w:val="3C3C3B"/>
              </w:rPr>
              <w:t>- Financial interests paid (including finance lease)</w:t>
            </w:r>
          </w:p>
        </w:tc>
        <w:tc>
          <w:tcPr>
            <w:tcW w:w="1320" w:type="dxa"/>
            <w:vAlign w:val="bottom"/>
          </w:tcPr>
          <w:p>
            <w:pPr>
              <w:spacing w:after="0"/>
              <w:rPr>
                <w:sz w:val="15"/>
                <w:szCs w:val="15"/>
                <w:color w:val="auto"/>
              </w:rPr>
            </w:pPr>
          </w:p>
        </w:tc>
        <w:tc>
          <w:tcPr>
            <w:tcW w:w="1840" w:type="dxa"/>
            <w:vAlign w:val="bottom"/>
          </w:tcPr>
          <w:p>
            <w:pPr>
              <w:jc w:val="right"/>
              <w:ind w:right="298"/>
              <w:spacing w:after="0"/>
              <w:rPr>
                <w:sz w:val="20"/>
                <w:szCs w:val="20"/>
                <w:color w:val="auto"/>
              </w:rPr>
            </w:pPr>
            <w:r>
              <w:rPr>
                <w:rFonts w:ascii="Arial" w:cs="Arial" w:eastAsia="Arial" w:hAnsi="Arial"/>
                <w:sz w:val="12"/>
                <w:szCs w:val="12"/>
                <w:color w:val="auto"/>
              </w:rPr>
              <w:t>(1,073)</w:t>
            </w:r>
          </w:p>
        </w:tc>
        <w:tc>
          <w:tcPr>
            <w:tcW w:w="1280" w:type="dxa"/>
            <w:vAlign w:val="bottom"/>
          </w:tcPr>
          <w:p>
            <w:pPr>
              <w:jc w:val="right"/>
              <w:spacing w:after="0"/>
              <w:rPr>
                <w:sz w:val="20"/>
                <w:szCs w:val="20"/>
                <w:color w:val="auto"/>
              </w:rPr>
            </w:pPr>
            <w:r>
              <w:rPr>
                <w:rFonts w:ascii="Arial" w:cs="Arial" w:eastAsia="Arial" w:hAnsi="Arial"/>
                <w:sz w:val="12"/>
                <w:szCs w:val="12"/>
                <w:color w:val="auto"/>
              </w:rPr>
              <w:t>(530)</w:t>
            </w:r>
          </w:p>
        </w:tc>
      </w:tr>
      <w:tr>
        <w:trPr>
          <w:trHeight w:val="26"/>
        </w:trPr>
        <w:tc>
          <w:tcPr>
            <w:tcW w:w="6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4"/>
        </w:trPr>
        <w:tc>
          <w:tcPr>
            <w:tcW w:w="6780" w:type="dxa"/>
            <w:vAlign w:val="bottom"/>
            <w:tcBorders>
              <w:bottom w:val="single" w:sz="8" w:color="FDF5E7"/>
            </w:tcBorders>
            <w:shd w:val="clear" w:color="auto" w:fill="FDF5E7"/>
          </w:tcPr>
          <w:p>
            <w:pPr>
              <w:ind w:left="60"/>
              <w:spacing w:after="0"/>
              <w:rPr>
                <w:sz w:val="20"/>
                <w:szCs w:val="20"/>
                <w:color w:val="auto"/>
              </w:rPr>
            </w:pPr>
            <w:r>
              <w:rPr>
                <w:rFonts w:ascii="Arial" w:cs="Arial" w:eastAsia="Arial" w:hAnsi="Arial"/>
                <w:sz w:val="12"/>
                <w:szCs w:val="12"/>
                <w:color w:val="3C3C3B"/>
              </w:rPr>
              <w:t>+ Financial interests received</w:t>
            </w:r>
          </w:p>
        </w:tc>
        <w:tc>
          <w:tcPr>
            <w:tcW w:w="1320" w:type="dxa"/>
            <w:vAlign w:val="bottom"/>
            <w:tcBorders>
              <w:bottom w:val="single" w:sz="8" w:color="FDF5E7"/>
            </w:tcBorders>
            <w:shd w:val="clear" w:color="auto" w:fill="FDF5E7"/>
          </w:tcPr>
          <w:p>
            <w:pPr>
              <w:spacing w:after="0"/>
              <w:rPr>
                <w:sz w:val="17"/>
                <w:szCs w:val="17"/>
                <w:color w:val="auto"/>
              </w:rPr>
            </w:pPr>
          </w:p>
        </w:tc>
        <w:tc>
          <w:tcPr>
            <w:tcW w:w="1840" w:type="dxa"/>
            <w:vAlign w:val="bottom"/>
            <w:tcBorders>
              <w:bottom w:val="single" w:sz="8" w:color="FDF5E7"/>
            </w:tcBorders>
            <w:shd w:val="clear" w:color="auto" w:fill="FDF5E7"/>
          </w:tcPr>
          <w:p>
            <w:pPr>
              <w:jc w:val="right"/>
              <w:ind w:right="338"/>
              <w:spacing w:after="0"/>
              <w:rPr>
                <w:sz w:val="20"/>
                <w:szCs w:val="20"/>
                <w:color w:val="auto"/>
              </w:rPr>
            </w:pPr>
            <w:r>
              <w:rPr>
                <w:rFonts w:ascii="Arial" w:cs="Arial" w:eastAsia="Arial" w:hAnsi="Arial"/>
                <w:sz w:val="12"/>
                <w:szCs w:val="12"/>
                <w:color w:val="auto"/>
              </w:rPr>
              <w:t>535</w:t>
            </w:r>
          </w:p>
        </w:tc>
        <w:tc>
          <w:tcPr>
            <w:tcW w:w="128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295</w:t>
            </w:r>
          </w:p>
        </w:tc>
      </w:tr>
      <w:tr>
        <w:trPr>
          <w:trHeight w:val="172"/>
        </w:trPr>
        <w:tc>
          <w:tcPr>
            <w:tcW w:w="678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i w:val="1"/>
                <w:iCs w:val="1"/>
                <w:color w:val="3C3C3B"/>
              </w:rPr>
              <w:t>Net cash flows provided by (used in ) financing activities</w:t>
            </w:r>
          </w:p>
        </w:tc>
        <w:tc>
          <w:tcPr>
            <w:tcW w:w="132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jc w:val="right"/>
              <w:ind w:right="298"/>
              <w:spacing w:after="0"/>
              <w:rPr>
                <w:sz w:val="20"/>
                <w:szCs w:val="20"/>
                <w:color w:val="auto"/>
              </w:rPr>
            </w:pPr>
            <w:r>
              <w:rPr>
                <w:rFonts w:ascii="Arial" w:cs="Arial" w:eastAsia="Arial" w:hAnsi="Arial"/>
                <w:sz w:val="12"/>
                <w:szCs w:val="12"/>
                <w:b w:val="1"/>
                <w:bCs w:val="1"/>
                <w:i w:val="1"/>
                <w:iCs w:val="1"/>
                <w:color w:val="auto"/>
              </w:rPr>
              <w:t>(4,225)</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i w:val="1"/>
                <w:iCs w:val="1"/>
                <w:color w:val="auto"/>
              </w:rPr>
              <w:t>59,287</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2"/>
        </w:trPr>
        <w:tc>
          <w:tcPr>
            <w:tcW w:w="6780" w:type="dxa"/>
            <w:vAlign w:val="bottom"/>
          </w:tcPr>
          <w:p>
            <w:pPr>
              <w:ind w:left="20"/>
              <w:spacing w:after="0"/>
              <w:rPr>
                <w:sz w:val="20"/>
                <w:szCs w:val="20"/>
                <w:color w:val="auto"/>
              </w:rPr>
            </w:pPr>
            <w:r>
              <w:rPr>
                <w:rFonts w:ascii="Arial" w:cs="Arial" w:eastAsia="Arial" w:hAnsi="Arial"/>
                <w:sz w:val="12"/>
                <w:szCs w:val="12"/>
                <w:b w:val="1"/>
                <w:bCs w:val="1"/>
                <w:color w:val="E99D25"/>
              </w:rPr>
              <w:t>Increase (decrease) in cash and cash equivalents</w:t>
            </w:r>
          </w:p>
        </w:tc>
        <w:tc>
          <w:tcPr>
            <w:tcW w:w="1320" w:type="dxa"/>
            <w:vAlign w:val="bottom"/>
          </w:tcPr>
          <w:p>
            <w:pPr>
              <w:spacing w:after="0"/>
              <w:rPr>
                <w:sz w:val="14"/>
                <w:szCs w:val="14"/>
                <w:color w:val="auto"/>
              </w:rPr>
            </w:pPr>
          </w:p>
        </w:tc>
        <w:tc>
          <w:tcPr>
            <w:tcW w:w="1840" w:type="dxa"/>
            <w:vAlign w:val="bottom"/>
          </w:tcPr>
          <w:p>
            <w:pPr>
              <w:jc w:val="right"/>
              <w:ind w:right="298"/>
              <w:spacing w:after="0"/>
              <w:rPr>
                <w:sz w:val="20"/>
                <w:szCs w:val="20"/>
                <w:color w:val="auto"/>
              </w:rPr>
            </w:pPr>
            <w:r>
              <w:rPr>
                <w:rFonts w:ascii="Arial" w:cs="Arial" w:eastAsia="Arial" w:hAnsi="Arial"/>
                <w:sz w:val="12"/>
                <w:szCs w:val="12"/>
                <w:b w:val="1"/>
                <w:bCs w:val="1"/>
                <w:color w:val="E99D25"/>
              </w:rPr>
              <w:t>(16,100)</w:t>
            </w:r>
          </w:p>
        </w:tc>
        <w:tc>
          <w:tcPr>
            <w:tcW w:w="1280" w:type="dxa"/>
            <w:vAlign w:val="bottom"/>
          </w:tcPr>
          <w:p>
            <w:pPr>
              <w:jc w:val="right"/>
              <w:spacing w:after="0"/>
              <w:rPr>
                <w:sz w:val="20"/>
                <w:szCs w:val="20"/>
                <w:color w:val="auto"/>
              </w:rPr>
            </w:pPr>
            <w:r>
              <w:rPr>
                <w:rFonts w:ascii="Arial" w:cs="Arial" w:eastAsia="Arial" w:hAnsi="Arial"/>
                <w:sz w:val="12"/>
                <w:szCs w:val="12"/>
                <w:b w:val="1"/>
                <w:bCs w:val="1"/>
                <w:color w:val="E99D25"/>
              </w:rPr>
              <w:t>25,966</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2"/>
        </w:trPr>
        <w:tc>
          <w:tcPr>
            <w:tcW w:w="678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Cash and cash equivalents at the beginning of the period</w:t>
            </w:r>
          </w:p>
        </w:tc>
        <w:tc>
          <w:tcPr>
            <w:tcW w:w="1320" w:type="dxa"/>
            <w:vAlign w:val="bottom"/>
            <w:tcBorders>
              <w:bottom w:val="single" w:sz="8" w:color="FDF5E7"/>
            </w:tcBorders>
            <w:shd w:val="clear" w:color="auto" w:fill="FDF5E7"/>
          </w:tcPr>
          <w:p>
            <w:pPr>
              <w:jc w:val="center"/>
              <w:ind w:right="58"/>
              <w:spacing w:after="0"/>
              <w:rPr>
                <w:sz w:val="20"/>
                <w:szCs w:val="20"/>
                <w:color w:val="auto"/>
              </w:rPr>
            </w:pPr>
            <w:r>
              <w:rPr>
                <w:rFonts w:ascii="Arial" w:cs="Arial" w:eastAsia="Arial" w:hAnsi="Arial"/>
                <w:sz w:val="12"/>
                <w:szCs w:val="12"/>
                <w:color w:val="3C3C3B"/>
                <w:w w:val="89"/>
              </w:rPr>
              <w:t>12</w:t>
            </w:r>
          </w:p>
        </w:tc>
        <w:tc>
          <w:tcPr>
            <w:tcW w:w="1840" w:type="dxa"/>
            <w:vAlign w:val="bottom"/>
            <w:tcBorders>
              <w:bottom w:val="single" w:sz="8" w:color="FDF5E7"/>
            </w:tcBorders>
            <w:shd w:val="clear" w:color="auto" w:fill="FDF5E7"/>
          </w:tcPr>
          <w:p>
            <w:pPr>
              <w:jc w:val="right"/>
              <w:ind w:right="338"/>
              <w:spacing w:after="0"/>
              <w:rPr>
                <w:sz w:val="20"/>
                <w:szCs w:val="20"/>
                <w:color w:val="auto"/>
              </w:rPr>
            </w:pPr>
            <w:r>
              <w:rPr>
                <w:rFonts w:ascii="Arial" w:cs="Arial" w:eastAsia="Arial" w:hAnsi="Arial"/>
                <w:sz w:val="12"/>
                <w:szCs w:val="12"/>
                <w:color w:val="auto"/>
              </w:rPr>
              <w:t>77,789</w:t>
            </w:r>
          </w:p>
        </w:tc>
        <w:tc>
          <w:tcPr>
            <w:tcW w:w="128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81,788</w:t>
            </w:r>
          </w:p>
        </w:tc>
      </w:tr>
      <w:tr>
        <w:trPr>
          <w:trHeight w:val="172"/>
        </w:trPr>
        <w:tc>
          <w:tcPr>
            <w:tcW w:w="6780" w:type="dxa"/>
            <w:vAlign w:val="bottom"/>
          </w:tcPr>
          <w:p>
            <w:pPr>
              <w:ind w:left="20"/>
              <w:spacing w:after="0"/>
              <w:rPr>
                <w:sz w:val="20"/>
                <w:szCs w:val="20"/>
                <w:color w:val="auto"/>
              </w:rPr>
            </w:pPr>
            <w:r>
              <w:rPr>
                <w:rFonts w:ascii="Arial" w:cs="Arial" w:eastAsia="Arial" w:hAnsi="Arial"/>
                <w:sz w:val="12"/>
                <w:szCs w:val="12"/>
                <w:color w:val="3C3C3B"/>
              </w:rPr>
              <w:t>Effects of exchange rate changes on cash</w:t>
            </w:r>
          </w:p>
        </w:tc>
        <w:tc>
          <w:tcPr>
            <w:tcW w:w="1320" w:type="dxa"/>
            <w:vAlign w:val="bottom"/>
          </w:tcPr>
          <w:p>
            <w:pPr>
              <w:spacing w:after="0"/>
              <w:rPr>
                <w:sz w:val="15"/>
                <w:szCs w:val="15"/>
                <w:color w:val="auto"/>
              </w:rPr>
            </w:pPr>
          </w:p>
        </w:tc>
        <w:tc>
          <w:tcPr>
            <w:tcW w:w="1840" w:type="dxa"/>
            <w:vAlign w:val="bottom"/>
          </w:tcPr>
          <w:p>
            <w:pPr>
              <w:jc w:val="right"/>
              <w:ind w:right="298"/>
              <w:spacing w:after="0"/>
              <w:rPr>
                <w:sz w:val="20"/>
                <w:szCs w:val="20"/>
                <w:color w:val="auto"/>
              </w:rPr>
            </w:pPr>
            <w:r>
              <w:rPr>
                <w:rFonts w:ascii="Arial" w:cs="Arial" w:eastAsia="Arial" w:hAnsi="Arial"/>
                <w:sz w:val="12"/>
                <w:szCs w:val="12"/>
                <w:color w:val="auto"/>
              </w:rPr>
              <w:t>(43)</w:t>
            </w:r>
          </w:p>
        </w:tc>
        <w:tc>
          <w:tcPr>
            <w:tcW w:w="1280" w:type="dxa"/>
            <w:vAlign w:val="bottom"/>
          </w:tcPr>
          <w:p>
            <w:pPr>
              <w:jc w:val="right"/>
              <w:spacing w:after="0"/>
              <w:rPr>
                <w:sz w:val="20"/>
                <w:szCs w:val="20"/>
                <w:color w:val="auto"/>
              </w:rPr>
            </w:pPr>
            <w:r>
              <w:rPr>
                <w:rFonts w:ascii="Arial" w:cs="Arial" w:eastAsia="Arial" w:hAnsi="Arial"/>
                <w:sz w:val="12"/>
                <w:szCs w:val="12"/>
                <w:color w:val="auto"/>
              </w:rPr>
              <w:t>(243)</w:t>
            </w:r>
          </w:p>
        </w:tc>
      </w:tr>
      <w:tr>
        <w:trPr>
          <w:trHeight w:val="26"/>
        </w:trPr>
        <w:tc>
          <w:tcPr>
            <w:tcW w:w="67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2"/>
        </w:trPr>
        <w:tc>
          <w:tcPr>
            <w:tcW w:w="6780" w:type="dxa"/>
            <w:vAlign w:val="bottom"/>
          </w:tcPr>
          <w:p>
            <w:pPr>
              <w:ind w:left="20"/>
              <w:spacing w:after="0"/>
              <w:rPr>
                <w:sz w:val="20"/>
                <w:szCs w:val="20"/>
                <w:color w:val="auto"/>
              </w:rPr>
            </w:pPr>
            <w:r>
              <w:rPr>
                <w:rFonts w:ascii="Arial" w:cs="Arial" w:eastAsia="Arial" w:hAnsi="Arial"/>
                <w:sz w:val="12"/>
                <w:szCs w:val="12"/>
                <w:b w:val="1"/>
                <w:bCs w:val="1"/>
                <w:color w:val="E99D25"/>
              </w:rPr>
              <w:t>Cash and cash equivalents at the end of the period</w:t>
            </w:r>
          </w:p>
        </w:tc>
        <w:tc>
          <w:tcPr>
            <w:tcW w:w="1320" w:type="dxa"/>
            <w:vAlign w:val="bottom"/>
          </w:tcPr>
          <w:p>
            <w:pPr>
              <w:spacing w:after="0"/>
              <w:rPr>
                <w:sz w:val="14"/>
                <w:szCs w:val="14"/>
                <w:color w:val="auto"/>
              </w:rPr>
            </w:pPr>
          </w:p>
        </w:tc>
        <w:tc>
          <w:tcPr>
            <w:tcW w:w="1840" w:type="dxa"/>
            <w:vAlign w:val="bottom"/>
          </w:tcPr>
          <w:p>
            <w:pPr>
              <w:jc w:val="right"/>
              <w:ind w:right="338"/>
              <w:spacing w:after="0"/>
              <w:rPr>
                <w:sz w:val="20"/>
                <w:szCs w:val="20"/>
                <w:color w:val="auto"/>
              </w:rPr>
            </w:pPr>
            <w:r>
              <w:rPr>
                <w:rFonts w:ascii="Arial" w:cs="Arial" w:eastAsia="Arial" w:hAnsi="Arial"/>
                <w:sz w:val="12"/>
                <w:szCs w:val="12"/>
                <w:b w:val="1"/>
                <w:bCs w:val="1"/>
                <w:color w:val="E99D25"/>
              </w:rPr>
              <w:t>61,645</w:t>
            </w:r>
          </w:p>
        </w:tc>
        <w:tc>
          <w:tcPr>
            <w:tcW w:w="1280" w:type="dxa"/>
            <w:vAlign w:val="bottom"/>
          </w:tcPr>
          <w:p>
            <w:pPr>
              <w:jc w:val="right"/>
              <w:spacing w:after="0"/>
              <w:rPr>
                <w:sz w:val="20"/>
                <w:szCs w:val="20"/>
                <w:color w:val="auto"/>
              </w:rPr>
            </w:pPr>
            <w:r>
              <w:rPr>
                <w:rFonts w:ascii="Arial" w:cs="Arial" w:eastAsia="Arial" w:hAnsi="Arial"/>
                <w:sz w:val="12"/>
                <w:szCs w:val="12"/>
                <w:b w:val="1"/>
                <w:bCs w:val="1"/>
                <w:color w:val="E99D25"/>
              </w:rPr>
              <w:t>107,511</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830" w:type="dxa"/>
        <w:tblCellMar>
          <w:top w:w="0" w:type="dxa"/>
          <w:left w:w="0" w:type="dxa"/>
          <w:bottom w:w="0" w:type="dxa"/>
          <w:right w:w="0" w:type="dxa"/>
        </w:tblCellMar>
      </w:tblPr>
      <w:tr>
        <w:trPr>
          <w:trHeight w:val="146"/>
        </w:trPr>
        <w:tc>
          <w:tcPr>
            <w:tcW w:w="7880" w:type="dxa"/>
            <w:vAlign w:val="bottom"/>
            <w:tcBorders>
              <w:left w:val="single" w:sz="8" w:color="57879D"/>
            </w:tcBorders>
            <w:vMerge w:val="restart"/>
          </w:tcPr>
          <w:p>
            <w:pPr>
              <w:ind w:left="40"/>
              <w:spacing w:after="0"/>
              <w:rPr>
                <w:sz w:val="20"/>
                <w:szCs w:val="20"/>
                <w:color w:val="auto"/>
              </w:rPr>
            </w:pPr>
            <w:r>
              <w:rPr>
                <w:rFonts w:ascii="Arial" w:cs="Arial" w:eastAsia="Arial" w:hAnsi="Arial"/>
                <w:sz w:val="15"/>
                <w:szCs w:val="15"/>
                <w:color w:val="3C3C3B"/>
              </w:rPr>
              <w:t>Half-Year Business and Financial Report at June 30, 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7880" w:type="dxa"/>
            <w:vAlign w:val="bottom"/>
            <w:tcBorders>
              <w:left w:val="single" w:sz="8" w:color="57879D"/>
            </w:tcBorders>
            <w:vMerge w:val="continue"/>
          </w:tcPr>
          <w:p>
            <w:pPr>
              <w:spacing w:after="0"/>
              <w:rPr>
                <w:sz w:val="22"/>
                <w:szCs w:val="22"/>
                <w:color w:val="auto"/>
              </w:rPr>
            </w:pPr>
          </w:p>
        </w:tc>
        <w:tc>
          <w:tcPr>
            <w:tcW w:w="640" w:type="dxa"/>
            <w:vAlign w:val="bottom"/>
            <w:shd w:val="clear" w:color="auto" w:fill="DBDBDB"/>
          </w:tcPr>
          <w:p>
            <w:pPr>
              <w:jc w:val="right"/>
              <w:ind w:right="385"/>
              <w:spacing w:after="0"/>
              <w:rPr>
                <w:sz w:val="20"/>
                <w:szCs w:val="20"/>
                <w:color w:val="auto"/>
              </w:rPr>
            </w:pPr>
            <w:r>
              <w:rPr>
                <w:rFonts w:ascii="Arial" w:cs="Arial" w:eastAsia="Arial" w:hAnsi="Arial"/>
                <w:sz w:val="15"/>
                <w:szCs w:val="15"/>
                <w:color w:val="3C3C3B"/>
                <w:w w:val="95"/>
              </w:rPr>
              <w:t>18</w:t>
            </w:r>
          </w:p>
        </w:tc>
        <w:tc>
          <w:tcPr>
            <w:tcW w:w="0" w:type="dxa"/>
            <w:vAlign w:val="bottom"/>
          </w:tcPr>
          <w:p>
            <w:pPr>
              <w:spacing w:after="0"/>
              <w:rPr>
                <w:sz w:val="1"/>
                <w:szCs w:val="1"/>
                <w:color w:val="auto"/>
              </w:rPr>
            </w:pPr>
          </w:p>
        </w:tc>
      </w:tr>
      <w:tr>
        <w:trPr>
          <w:trHeight w:val="71"/>
        </w:trPr>
        <w:tc>
          <w:tcPr>
            <w:tcW w:w="7880" w:type="dxa"/>
            <w:vAlign w:val="bottom"/>
            <w:tcBorders>
              <w:left w:val="single" w:sz="8" w:color="57879D"/>
            </w:tcBorders>
          </w:tcPr>
          <w:p>
            <w:pPr>
              <w:spacing w:after="0"/>
              <w:rPr>
                <w:sz w:val="6"/>
                <w:szCs w:val="6"/>
                <w:color w:val="auto"/>
              </w:rPr>
            </w:pPr>
          </w:p>
        </w:tc>
        <w:tc>
          <w:tcPr>
            <w:tcW w:w="6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7880" w:type="dxa"/>
            <w:vAlign w:val="bottom"/>
            <w:tcBorders>
              <w:left w:val="single" w:sz="8" w:color="57879D"/>
            </w:tcBorders>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-369570</wp:posOffset>
            </wp:positionV>
            <wp:extent cx="1094105" cy="277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94105" cy="277495"/>
                    </a:xfrm>
                    <a:prstGeom prst="rect">
                      <a:avLst/>
                    </a:prstGeom>
                    <a:noFill/>
                  </pic:spPr>
                </pic:pic>
              </a:graphicData>
            </a:graphic>
          </wp:anchor>
        </w:drawing>
      </w:r>
    </w:p>
    <w:p>
      <w:pPr>
        <w:sectPr>
          <w:pgSz w:w="11900" w:h="16838" w:orient="portrait"/>
          <w:cols w:equalWidth="0" w:num="1">
            <w:col w:w="11340"/>
          </w:cols>
          <w:pgMar w:left="320" w:top="1273"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374"/>
        </w:trPr>
        <w:tc>
          <w:tcPr>
            <w:tcW w:w="680" w:type="dxa"/>
            <w:vAlign w:val="bottom"/>
          </w:tcPr>
          <w:p>
            <w:pPr>
              <w:ind w:left="100"/>
              <w:spacing w:after="0"/>
              <w:rPr>
                <w:sz w:val="20"/>
                <w:szCs w:val="20"/>
                <w:color w:val="auto"/>
              </w:rPr>
            </w:pPr>
            <w:r>
              <w:rPr>
                <w:rFonts w:ascii="Arial" w:cs="Arial" w:eastAsia="Arial" w:hAnsi="Arial"/>
                <w:sz w:val="28"/>
                <w:szCs w:val="28"/>
                <w:color w:val="57879D"/>
              </w:rPr>
              <w:t>3.5</w:t>
            </w:r>
          </w:p>
        </w:tc>
        <w:tc>
          <w:tcPr>
            <w:tcW w:w="6020" w:type="dxa"/>
            <w:vAlign w:val="bottom"/>
            <w:gridSpan w:val="4"/>
          </w:tcPr>
          <w:p>
            <w:pPr>
              <w:jc w:val="right"/>
              <w:spacing w:after="0"/>
              <w:rPr>
                <w:sz w:val="20"/>
                <w:szCs w:val="20"/>
                <w:color w:val="auto"/>
              </w:rPr>
            </w:pPr>
            <w:r>
              <w:rPr>
                <w:rFonts w:ascii="Arial" w:cs="Arial" w:eastAsia="Arial" w:hAnsi="Arial"/>
                <w:sz w:val="28"/>
                <w:szCs w:val="28"/>
                <w:color w:val="57879D"/>
              </w:rPr>
              <w:t>Consolidated Statements of Changes in Equity</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57879D"/>
            </w:tcBorders>
            <w:gridSpan w:val="2"/>
          </w:tcPr>
          <w:p>
            <w:pPr>
              <w:spacing w:after="0"/>
              <w:rPr>
                <w:sz w:val="2"/>
                <w:szCs w:val="2"/>
                <w:color w:val="auto"/>
              </w:rPr>
            </w:pPr>
          </w:p>
        </w:tc>
        <w:tc>
          <w:tcPr>
            <w:tcW w:w="940" w:type="dxa"/>
            <w:vAlign w:val="bottom"/>
            <w:tcBorders>
              <w:bottom w:val="single" w:sz="8" w:color="57879D"/>
            </w:tcBorders>
          </w:tcPr>
          <w:p>
            <w:pPr>
              <w:spacing w:after="0"/>
              <w:rPr>
                <w:sz w:val="2"/>
                <w:szCs w:val="2"/>
                <w:color w:val="auto"/>
              </w:rPr>
            </w:pPr>
          </w:p>
        </w:tc>
        <w:tc>
          <w:tcPr>
            <w:tcW w:w="620" w:type="dxa"/>
            <w:vAlign w:val="bottom"/>
            <w:tcBorders>
              <w:bottom w:val="single" w:sz="8" w:color="57879D"/>
            </w:tcBorders>
          </w:tcPr>
          <w:p>
            <w:pPr>
              <w:spacing w:after="0"/>
              <w:rPr>
                <w:sz w:val="2"/>
                <w:szCs w:val="2"/>
                <w:color w:val="auto"/>
              </w:rPr>
            </w:pPr>
          </w:p>
        </w:tc>
        <w:tc>
          <w:tcPr>
            <w:tcW w:w="1200" w:type="dxa"/>
            <w:vAlign w:val="bottom"/>
            <w:tcBorders>
              <w:bottom w:val="single" w:sz="8" w:color="57879D"/>
            </w:tcBorders>
          </w:tcPr>
          <w:p>
            <w:pPr>
              <w:spacing w:after="0"/>
              <w:rPr>
                <w:sz w:val="2"/>
                <w:szCs w:val="2"/>
                <w:color w:val="auto"/>
              </w:rPr>
            </w:pPr>
          </w:p>
        </w:tc>
        <w:tc>
          <w:tcPr>
            <w:tcW w:w="600" w:type="dxa"/>
            <w:vAlign w:val="bottom"/>
            <w:tcBorders>
              <w:bottom w:val="single" w:sz="8" w:color="57879D"/>
            </w:tcBorders>
          </w:tcPr>
          <w:p>
            <w:pPr>
              <w:spacing w:after="0"/>
              <w:rPr>
                <w:sz w:val="2"/>
                <w:szCs w:val="2"/>
                <w:color w:val="auto"/>
              </w:rPr>
            </w:pPr>
          </w:p>
        </w:tc>
        <w:tc>
          <w:tcPr>
            <w:tcW w:w="1060" w:type="dxa"/>
            <w:vAlign w:val="bottom"/>
            <w:tcBorders>
              <w:bottom w:val="single" w:sz="8" w:color="57879D"/>
            </w:tcBorders>
          </w:tcPr>
          <w:p>
            <w:pPr>
              <w:spacing w:after="0"/>
              <w:rPr>
                <w:sz w:val="2"/>
                <w:szCs w:val="2"/>
                <w:color w:val="auto"/>
              </w:rPr>
            </w:pPr>
          </w:p>
        </w:tc>
        <w:tc>
          <w:tcPr>
            <w:tcW w:w="1100" w:type="dxa"/>
            <w:vAlign w:val="bottom"/>
            <w:tcBorders>
              <w:bottom w:val="single" w:sz="8" w:color="57879D"/>
            </w:tcBorders>
          </w:tcPr>
          <w:p>
            <w:pPr>
              <w:spacing w:after="0"/>
              <w:rPr>
                <w:sz w:val="2"/>
                <w:szCs w:val="2"/>
                <w:color w:val="auto"/>
              </w:rPr>
            </w:pPr>
          </w:p>
        </w:tc>
        <w:tc>
          <w:tcPr>
            <w:tcW w:w="820" w:type="dxa"/>
            <w:vAlign w:val="bottom"/>
            <w:tcBorders>
              <w:bottom w:val="single" w:sz="8" w:color="57879D"/>
            </w:tcBorders>
          </w:tcPr>
          <w:p>
            <w:pPr>
              <w:spacing w:after="0"/>
              <w:rPr>
                <w:sz w:val="2"/>
                <w:szCs w:val="2"/>
                <w:color w:val="auto"/>
              </w:rPr>
            </w:pPr>
          </w:p>
        </w:tc>
        <w:tc>
          <w:tcPr>
            <w:tcW w:w="940" w:type="dxa"/>
            <w:vAlign w:val="bottom"/>
            <w:tcBorders>
              <w:bottom w:val="single" w:sz="8" w:color="57879D"/>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940" w:type="dxa"/>
            <w:vAlign w:val="bottom"/>
            <w:gridSpan w:val="2"/>
          </w:tcPr>
          <w:p>
            <w:pPr>
              <w:spacing w:after="0"/>
              <w:rPr>
                <w:sz w:val="20"/>
                <w:szCs w:val="20"/>
                <w:color w:val="auto"/>
              </w:rPr>
            </w:pPr>
            <w:r>
              <w:rPr>
                <w:rFonts w:ascii="Arial" w:cs="Arial" w:eastAsia="Arial" w:hAnsi="Arial"/>
                <w:sz w:val="12"/>
                <w:szCs w:val="12"/>
                <w:i w:val="1"/>
                <w:iCs w:val="1"/>
                <w:color w:val="3C3C3B"/>
              </w:rPr>
              <w:t>(Amounts in thousands of euros, except for number of shares)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560" w:type="dxa"/>
            <w:vAlign w:val="bottom"/>
            <w:tcBorders>
              <w:bottom w:val="single" w:sz="8" w:color="242424"/>
            </w:tcBorders>
            <w:gridSpan w:val="2"/>
          </w:tcPr>
          <w:p>
            <w:pPr>
              <w:spacing w:after="0"/>
              <w:rPr>
                <w:sz w:val="19"/>
                <w:szCs w:val="19"/>
                <w:color w:val="auto"/>
              </w:rPr>
            </w:pPr>
          </w:p>
        </w:tc>
        <w:tc>
          <w:tcPr>
            <w:tcW w:w="1200" w:type="dxa"/>
            <w:vAlign w:val="bottom"/>
            <w:vMerge w:val="restart"/>
          </w:tcPr>
          <w:p>
            <w:pPr>
              <w:jc w:val="right"/>
              <w:ind w:right="298"/>
              <w:spacing w:after="0"/>
              <w:rPr>
                <w:sz w:val="20"/>
                <w:szCs w:val="20"/>
                <w:color w:val="auto"/>
              </w:rPr>
            </w:pPr>
            <w:r>
              <w:rPr>
                <w:rFonts w:ascii="Arial" w:cs="Arial" w:eastAsia="Arial" w:hAnsi="Arial"/>
                <w:sz w:val="12"/>
                <w:szCs w:val="12"/>
                <w:b w:val="1"/>
                <w:bCs w:val="1"/>
                <w:color w:val="3C3C3B"/>
              </w:rPr>
              <w:t>Share</w:t>
            </w:r>
          </w:p>
        </w:tc>
        <w:tc>
          <w:tcPr>
            <w:tcW w:w="60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3C3C3B"/>
                <w:w w:val="98"/>
              </w:rPr>
              <w:t>Treasury</w:t>
            </w:r>
          </w:p>
        </w:tc>
        <w:tc>
          <w:tcPr>
            <w:tcW w:w="106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3C3C3B"/>
              </w:rPr>
              <w:t>Retained</w:t>
            </w:r>
          </w:p>
        </w:tc>
        <w:tc>
          <w:tcPr>
            <w:tcW w:w="1100" w:type="dxa"/>
            <w:vAlign w:val="bottom"/>
            <w:vMerge w:val="restart"/>
          </w:tcPr>
          <w:p>
            <w:pPr>
              <w:jc w:val="right"/>
              <w:ind w:right="198"/>
              <w:spacing w:after="0"/>
              <w:rPr>
                <w:sz w:val="20"/>
                <w:szCs w:val="20"/>
                <w:color w:val="auto"/>
              </w:rPr>
            </w:pPr>
            <w:r>
              <w:rPr>
                <w:rFonts w:ascii="Arial" w:cs="Arial" w:eastAsia="Arial" w:hAnsi="Arial"/>
                <w:sz w:val="12"/>
                <w:szCs w:val="12"/>
                <w:b w:val="1"/>
                <w:bCs w:val="1"/>
                <w:color w:val="3C3C3B"/>
              </w:rPr>
              <w:t>Currency</w:t>
            </w:r>
          </w:p>
        </w:tc>
        <w:tc>
          <w:tcPr>
            <w:tcW w:w="82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3C3C3B"/>
              </w:rPr>
              <w:t>Net</w:t>
            </w:r>
          </w:p>
        </w:tc>
        <w:tc>
          <w:tcPr>
            <w:tcW w:w="940" w:type="dxa"/>
            <w:vAlign w:val="bottom"/>
            <w:vMerge w:val="restart"/>
          </w:tcPr>
          <w:p>
            <w:pPr>
              <w:jc w:val="right"/>
              <w:spacing w:after="0"/>
              <w:rPr>
                <w:sz w:val="20"/>
                <w:szCs w:val="20"/>
                <w:color w:val="auto"/>
              </w:rPr>
            </w:pPr>
            <w:r>
              <w:rPr>
                <w:rFonts w:ascii="Arial" w:cs="Arial" w:eastAsia="Arial" w:hAnsi="Arial"/>
                <w:sz w:val="12"/>
                <w:szCs w:val="12"/>
                <w:b w:val="1"/>
                <w:bCs w:val="1"/>
                <w:color w:val="3C3C3B"/>
              </w:rPr>
              <w:t>Total</w:t>
            </w: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60" w:type="dxa"/>
            <w:vAlign w:val="bottom"/>
            <w:gridSpan w:val="2"/>
          </w:tcPr>
          <w:p>
            <w:pPr>
              <w:jc w:val="right"/>
              <w:ind w:right="338"/>
              <w:spacing w:after="0"/>
              <w:rPr>
                <w:sz w:val="20"/>
                <w:szCs w:val="20"/>
                <w:color w:val="auto"/>
              </w:rPr>
            </w:pPr>
            <w:r>
              <w:rPr>
                <w:rFonts w:ascii="Arial" w:cs="Arial" w:eastAsia="Arial" w:hAnsi="Arial"/>
                <w:sz w:val="12"/>
                <w:szCs w:val="12"/>
                <w:b w:val="1"/>
                <w:bCs w:val="1"/>
                <w:color w:val="3C3C3B"/>
              </w:rPr>
              <w:t>Share capital</w:t>
            </w:r>
          </w:p>
        </w:tc>
        <w:tc>
          <w:tcPr>
            <w:tcW w:w="12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40" w:type="dxa"/>
            <w:vAlign w:val="bottom"/>
            <w:tcBorders>
              <w:bottom w:val="single" w:sz="8" w:color="242424"/>
            </w:tcBorders>
          </w:tcPr>
          <w:p>
            <w:pPr>
              <w:spacing w:after="0" w:line="20" w:lineRule="exact"/>
              <w:rPr>
                <w:sz w:val="1"/>
                <w:szCs w:val="1"/>
                <w:color w:val="auto"/>
              </w:rPr>
            </w:pPr>
          </w:p>
        </w:tc>
        <w:tc>
          <w:tcPr>
            <w:tcW w:w="620" w:type="dxa"/>
            <w:vAlign w:val="bottom"/>
            <w:tcBorders>
              <w:bottom w:val="single" w:sz="8" w:color="242424"/>
            </w:tcBorders>
          </w:tcPr>
          <w:p>
            <w:pPr>
              <w:spacing w:after="0" w:line="20" w:lineRule="exact"/>
              <w:rPr>
                <w:sz w:val="1"/>
                <w:szCs w:val="1"/>
                <w:color w:val="auto"/>
              </w:rPr>
            </w:pPr>
          </w:p>
        </w:tc>
        <w:tc>
          <w:tcPr>
            <w:tcW w:w="1200" w:type="dxa"/>
            <w:vAlign w:val="bottom"/>
            <w:vMerge w:val="restart"/>
          </w:tcPr>
          <w:p>
            <w:pPr>
              <w:jc w:val="right"/>
              <w:ind w:right="298"/>
              <w:spacing w:after="0"/>
              <w:rPr>
                <w:sz w:val="20"/>
                <w:szCs w:val="20"/>
                <w:color w:val="auto"/>
              </w:rPr>
            </w:pPr>
            <w:r>
              <w:rPr>
                <w:rFonts w:ascii="Arial" w:cs="Arial" w:eastAsia="Arial" w:hAnsi="Arial"/>
                <w:sz w:val="12"/>
                <w:szCs w:val="12"/>
                <w:b w:val="1"/>
                <w:bCs w:val="1"/>
                <w:color w:val="3C3C3B"/>
              </w:rPr>
              <w:t>premium</w:t>
            </w:r>
          </w:p>
        </w:tc>
        <w:tc>
          <w:tcPr>
            <w:tcW w:w="60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3C3C3B"/>
              </w:rPr>
              <w:t>shares</w:t>
            </w:r>
          </w:p>
        </w:tc>
        <w:tc>
          <w:tcPr>
            <w:tcW w:w="106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3C3C3B"/>
              </w:rPr>
              <w:t>earnings</w:t>
            </w:r>
          </w:p>
        </w:tc>
        <w:tc>
          <w:tcPr>
            <w:tcW w:w="1100" w:type="dxa"/>
            <w:vAlign w:val="bottom"/>
            <w:vMerge w:val="restart"/>
          </w:tcPr>
          <w:p>
            <w:pPr>
              <w:jc w:val="right"/>
              <w:ind w:right="198"/>
              <w:spacing w:after="0"/>
              <w:rPr>
                <w:sz w:val="20"/>
                <w:szCs w:val="20"/>
                <w:color w:val="auto"/>
              </w:rPr>
            </w:pPr>
            <w:r>
              <w:rPr>
                <w:rFonts w:ascii="Arial" w:cs="Arial" w:eastAsia="Arial" w:hAnsi="Arial"/>
                <w:sz w:val="12"/>
                <w:szCs w:val="12"/>
                <w:b w:val="1"/>
                <w:bCs w:val="1"/>
                <w:color w:val="3C3C3B"/>
              </w:rPr>
              <w:t>translation</w:t>
            </w:r>
          </w:p>
        </w:tc>
        <w:tc>
          <w:tcPr>
            <w:tcW w:w="82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3C3C3B"/>
              </w:rPr>
              <w:t>profit</w:t>
            </w:r>
          </w:p>
        </w:tc>
        <w:tc>
          <w:tcPr>
            <w:tcW w:w="940" w:type="dxa"/>
            <w:vAlign w:val="bottom"/>
            <w:vMerge w:val="restart"/>
          </w:tcPr>
          <w:p>
            <w:pPr>
              <w:jc w:val="right"/>
              <w:spacing w:after="0"/>
              <w:rPr>
                <w:sz w:val="20"/>
                <w:szCs w:val="20"/>
                <w:color w:val="auto"/>
              </w:rPr>
            </w:pPr>
            <w:r>
              <w:rPr>
                <w:rFonts w:ascii="Arial" w:cs="Arial" w:eastAsia="Arial" w:hAnsi="Arial"/>
                <w:sz w:val="12"/>
                <w:szCs w:val="12"/>
                <w:b w:val="1"/>
                <w:bCs w:val="1"/>
                <w:color w:val="3C3C3B"/>
              </w:rPr>
              <w:t>shareholders'</w:t>
            </w: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940" w:type="dxa"/>
            <w:vAlign w:val="bottom"/>
          </w:tcPr>
          <w:p>
            <w:pPr>
              <w:jc w:val="right"/>
              <w:ind w:right="138"/>
              <w:spacing w:after="0"/>
              <w:rPr>
                <w:sz w:val="20"/>
                <w:szCs w:val="20"/>
                <w:color w:val="auto"/>
              </w:rPr>
            </w:pPr>
            <w:r>
              <w:rPr>
                <w:rFonts w:ascii="Arial" w:cs="Arial" w:eastAsia="Arial" w:hAnsi="Arial"/>
                <w:sz w:val="12"/>
                <w:szCs w:val="12"/>
                <w:b w:val="1"/>
                <w:bCs w:val="1"/>
                <w:color w:val="3C3C3B"/>
              </w:rPr>
              <w:t>Number</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3C3C3B"/>
              </w:rPr>
              <w:t>Share</w:t>
            </w:r>
          </w:p>
        </w:tc>
        <w:tc>
          <w:tcPr>
            <w:tcW w:w="12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940" w:type="dxa"/>
            <w:vAlign w:val="bottom"/>
          </w:tcPr>
          <w:p>
            <w:pPr>
              <w:jc w:val="right"/>
              <w:ind w:right="138"/>
              <w:spacing w:after="0"/>
              <w:rPr>
                <w:sz w:val="20"/>
                <w:szCs w:val="20"/>
                <w:color w:val="auto"/>
              </w:rPr>
            </w:pPr>
            <w:r>
              <w:rPr>
                <w:rFonts w:ascii="Arial" w:cs="Arial" w:eastAsia="Arial" w:hAnsi="Arial"/>
                <w:sz w:val="12"/>
                <w:szCs w:val="12"/>
                <w:b w:val="1"/>
                <w:bCs w:val="1"/>
                <w:color w:val="3C3C3B"/>
              </w:rPr>
              <w:t>of shares</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3C3C3B"/>
              </w:rPr>
              <w:t>capital</w:t>
            </w: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jc w:val="right"/>
              <w:ind w:right="98"/>
              <w:spacing w:after="0"/>
              <w:rPr>
                <w:sz w:val="20"/>
                <w:szCs w:val="20"/>
                <w:color w:val="auto"/>
              </w:rPr>
            </w:pPr>
            <w:r>
              <w:rPr>
                <w:rFonts w:ascii="Arial" w:cs="Arial" w:eastAsia="Arial" w:hAnsi="Arial"/>
                <w:sz w:val="12"/>
                <w:szCs w:val="12"/>
                <w:b w:val="1"/>
                <w:bCs w:val="1"/>
                <w:color w:val="3C3C3B"/>
              </w:rPr>
              <w:t>(accumulated</w:t>
            </w:r>
          </w:p>
        </w:tc>
        <w:tc>
          <w:tcPr>
            <w:tcW w:w="1100" w:type="dxa"/>
            <w:vAlign w:val="bottom"/>
          </w:tcPr>
          <w:p>
            <w:pPr>
              <w:jc w:val="right"/>
              <w:ind w:right="198"/>
              <w:spacing w:after="0"/>
              <w:rPr>
                <w:sz w:val="20"/>
                <w:szCs w:val="20"/>
                <w:color w:val="auto"/>
              </w:rPr>
            </w:pPr>
            <w:r>
              <w:rPr>
                <w:rFonts w:ascii="Arial" w:cs="Arial" w:eastAsia="Arial" w:hAnsi="Arial"/>
                <w:sz w:val="12"/>
                <w:szCs w:val="12"/>
                <w:b w:val="1"/>
                <w:bCs w:val="1"/>
                <w:color w:val="3C3C3B"/>
              </w:rPr>
              <w:t>adjustment</w:t>
            </w:r>
          </w:p>
        </w:tc>
        <w:tc>
          <w:tcPr>
            <w:tcW w:w="820" w:type="dxa"/>
            <w:vAlign w:val="bottom"/>
          </w:tcPr>
          <w:p>
            <w:pPr>
              <w:jc w:val="right"/>
              <w:ind w:right="18"/>
              <w:spacing w:after="0"/>
              <w:rPr>
                <w:sz w:val="20"/>
                <w:szCs w:val="20"/>
                <w:color w:val="auto"/>
              </w:rPr>
            </w:pPr>
            <w:r>
              <w:rPr>
                <w:rFonts w:ascii="Arial" w:cs="Arial" w:eastAsia="Arial" w:hAnsi="Arial"/>
                <w:sz w:val="12"/>
                <w:szCs w:val="12"/>
                <w:b w:val="1"/>
                <w:bCs w:val="1"/>
                <w:color w:val="3C3C3B"/>
              </w:rPr>
              <w:t>(loss)</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3C3C3B"/>
              </w:rPr>
              <w:t>equity</w:t>
            </w:r>
          </w:p>
        </w:tc>
        <w:tc>
          <w:tcPr>
            <w:tcW w:w="0" w:type="dxa"/>
            <w:vAlign w:val="bottom"/>
          </w:tcPr>
          <w:p>
            <w:pPr>
              <w:spacing w:after="0"/>
              <w:rPr>
                <w:sz w:val="1"/>
                <w:szCs w:val="1"/>
                <w:color w:val="auto"/>
              </w:rPr>
            </w:pPr>
          </w:p>
        </w:tc>
      </w:tr>
      <w:tr>
        <w:trPr>
          <w:trHeight w:val="199"/>
        </w:trPr>
        <w:tc>
          <w:tcPr>
            <w:tcW w:w="3940" w:type="dxa"/>
            <w:vAlign w:val="bottom"/>
            <w:gridSpan w:val="2"/>
          </w:tcPr>
          <w:p>
            <w:pPr>
              <w:ind w:left="20"/>
              <w:spacing w:after="0"/>
              <w:rPr>
                <w:sz w:val="20"/>
                <w:szCs w:val="20"/>
                <w:color w:val="auto"/>
              </w:rPr>
            </w:pPr>
            <w:r>
              <w:rPr>
                <w:rFonts w:ascii="Arial" w:cs="Arial" w:eastAsia="Arial" w:hAnsi="Arial"/>
                <w:sz w:val="12"/>
                <w:szCs w:val="12"/>
                <w:i w:val="1"/>
                <w:iCs w:val="1"/>
                <w:color w:val="3C3C3B"/>
              </w:rPr>
              <w:t>(in € thousands)</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jc w:val="right"/>
              <w:ind w:right="98"/>
              <w:spacing w:after="0"/>
              <w:rPr>
                <w:sz w:val="20"/>
                <w:szCs w:val="20"/>
                <w:color w:val="auto"/>
              </w:rPr>
            </w:pPr>
            <w:r>
              <w:rPr>
                <w:rFonts w:ascii="Arial" w:cs="Arial" w:eastAsia="Arial" w:hAnsi="Arial"/>
                <w:sz w:val="12"/>
                <w:szCs w:val="12"/>
                <w:b w:val="1"/>
                <w:bCs w:val="1"/>
                <w:color w:val="3C3C3B"/>
              </w:rPr>
              <w:t>deficit)</w:t>
            </w: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940" w:type="dxa"/>
            <w:vAlign w:val="bottom"/>
            <w:gridSpan w:val="2"/>
          </w:tcPr>
          <w:p>
            <w:pPr>
              <w:ind w:left="20"/>
              <w:spacing w:after="0"/>
              <w:rPr>
                <w:sz w:val="20"/>
                <w:szCs w:val="20"/>
                <w:color w:val="auto"/>
              </w:rPr>
            </w:pPr>
            <w:r>
              <w:rPr>
                <w:rFonts w:ascii="Arial" w:cs="Arial" w:eastAsia="Arial" w:hAnsi="Arial"/>
                <w:sz w:val="12"/>
                <w:szCs w:val="12"/>
                <w:b w:val="1"/>
                <w:bCs w:val="1"/>
                <w:color w:val="3C3C3B"/>
              </w:rPr>
              <w:t>As of January 01, 2024</w:t>
            </w:r>
          </w:p>
        </w:tc>
        <w:tc>
          <w:tcPr>
            <w:tcW w:w="940" w:type="dxa"/>
            <w:vAlign w:val="bottom"/>
          </w:tcPr>
          <w:p>
            <w:pPr>
              <w:jc w:val="right"/>
              <w:ind w:right="138"/>
              <w:spacing w:after="0"/>
              <w:rPr>
                <w:sz w:val="20"/>
                <w:szCs w:val="20"/>
                <w:color w:val="auto"/>
              </w:rPr>
            </w:pPr>
            <w:r>
              <w:rPr>
                <w:rFonts w:ascii="Arial" w:cs="Arial" w:eastAsia="Arial" w:hAnsi="Arial"/>
                <w:sz w:val="12"/>
                <w:szCs w:val="12"/>
                <w:b w:val="1"/>
                <w:bCs w:val="1"/>
                <w:color w:val="auto"/>
              </w:rPr>
              <w:t>49,834,983</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12,459</w:t>
            </w:r>
          </w:p>
        </w:tc>
        <w:tc>
          <w:tcPr>
            <w:tcW w:w="1200" w:type="dxa"/>
            <w:vAlign w:val="bottom"/>
          </w:tcPr>
          <w:p>
            <w:pPr>
              <w:jc w:val="right"/>
              <w:ind w:right="298"/>
              <w:spacing w:after="0"/>
              <w:rPr>
                <w:sz w:val="20"/>
                <w:szCs w:val="20"/>
                <w:color w:val="auto"/>
              </w:rPr>
            </w:pPr>
            <w:r>
              <w:rPr>
                <w:rFonts w:ascii="Arial" w:cs="Arial" w:eastAsia="Arial" w:hAnsi="Arial"/>
                <w:sz w:val="12"/>
                <w:szCs w:val="12"/>
                <w:b w:val="1"/>
                <w:bCs w:val="1"/>
                <w:color w:val="auto"/>
              </w:rPr>
              <w:t>445,261</w:t>
            </w:r>
          </w:p>
        </w:tc>
        <w:tc>
          <w:tcPr>
            <w:tcW w:w="600" w:type="dxa"/>
            <w:vAlign w:val="bottom"/>
          </w:tcPr>
          <w:p>
            <w:pPr>
              <w:jc w:val="right"/>
              <w:ind w:right="18"/>
              <w:spacing w:after="0"/>
              <w:rPr>
                <w:sz w:val="20"/>
                <w:szCs w:val="20"/>
                <w:color w:val="auto"/>
              </w:rPr>
            </w:pPr>
            <w:r>
              <w:rPr>
                <w:rFonts w:ascii="Arial" w:cs="Arial" w:eastAsia="Arial" w:hAnsi="Arial"/>
                <w:sz w:val="12"/>
                <w:szCs w:val="12"/>
                <w:b w:val="1"/>
                <w:bCs w:val="1"/>
                <w:color w:val="auto"/>
              </w:rPr>
              <w:t>(970)</w:t>
            </w:r>
          </w:p>
        </w:tc>
        <w:tc>
          <w:tcPr>
            <w:tcW w:w="1060" w:type="dxa"/>
            <w:vAlign w:val="bottom"/>
          </w:tcPr>
          <w:p>
            <w:pPr>
              <w:jc w:val="right"/>
              <w:ind w:right="98"/>
              <w:spacing w:after="0"/>
              <w:rPr>
                <w:sz w:val="20"/>
                <w:szCs w:val="20"/>
                <w:color w:val="auto"/>
              </w:rPr>
            </w:pPr>
            <w:r>
              <w:rPr>
                <w:rFonts w:ascii="Arial" w:cs="Arial" w:eastAsia="Arial" w:hAnsi="Arial"/>
                <w:sz w:val="12"/>
                <w:szCs w:val="12"/>
                <w:b w:val="1"/>
                <w:bCs w:val="1"/>
                <w:color w:val="auto"/>
              </w:rPr>
              <w:t>(360,901)</w:t>
            </w:r>
          </w:p>
        </w:tc>
        <w:tc>
          <w:tcPr>
            <w:tcW w:w="1100" w:type="dxa"/>
            <w:vAlign w:val="bottom"/>
          </w:tcPr>
          <w:p>
            <w:pPr>
              <w:jc w:val="right"/>
              <w:ind w:right="198"/>
              <w:spacing w:after="0"/>
              <w:rPr>
                <w:sz w:val="20"/>
                <w:szCs w:val="20"/>
                <w:color w:val="auto"/>
              </w:rPr>
            </w:pPr>
            <w:r>
              <w:rPr>
                <w:rFonts w:ascii="Arial" w:cs="Arial" w:eastAsia="Arial" w:hAnsi="Arial"/>
                <w:sz w:val="12"/>
                <w:szCs w:val="12"/>
                <w:b w:val="1"/>
                <w:bCs w:val="1"/>
                <w:color w:val="auto"/>
              </w:rPr>
              <w:t>996</w:t>
            </w:r>
          </w:p>
        </w:tc>
        <w:tc>
          <w:tcPr>
            <w:tcW w:w="820" w:type="dxa"/>
            <w:vAlign w:val="bottom"/>
          </w:tcPr>
          <w:p>
            <w:pPr>
              <w:jc w:val="right"/>
              <w:ind w:right="18"/>
              <w:spacing w:after="0"/>
              <w:rPr>
                <w:sz w:val="20"/>
                <w:szCs w:val="20"/>
                <w:color w:val="auto"/>
              </w:rPr>
            </w:pPr>
            <w:r>
              <w:rPr>
                <w:rFonts w:ascii="Arial" w:cs="Arial" w:eastAsia="Arial" w:hAnsi="Arial"/>
                <w:sz w:val="12"/>
                <w:szCs w:val="12"/>
                <w:b w:val="1"/>
                <w:bCs w:val="1"/>
                <w:color w:val="auto"/>
              </w:rPr>
              <w:t>(28,894)</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67,951</w:t>
            </w:r>
          </w:p>
        </w:tc>
        <w:tc>
          <w:tcPr>
            <w:tcW w:w="0" w:type="dxa"/>
            <w:vAlign w:val="bottom"/>
          </w:tcPr>
          <w:p>
            <w:pPr>
              <w:spacing w:after="0"/>
              <w:rPr>
                <w:sz w:val="1"/>
                <w:szCs w:val="1"/>
                <w:color w:val="auto"/>
              </w:rPr>
            </w:pPr>
          </w:p>
        </w:tc>
      </w:tr>
      <w:tr>
        <w:trPr>
          <w:trHeight w:val="20"/>
        </w:trPr>
        <w:tc>
          <w:tcPr>
            <w:tcW w:w="394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394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2"/>
                <w:szCs w:val="12"/>
                <w:color w:val="3C3C3B"/>
              </w:rPr>
              <w:t>Net profit (loss)</w:t>
            </w:r>
          </w:p>
        </w:tc>
        <w:tc>
          <w:tcPr>
            <w:tcW w:w="940" w:type="dxa"/>
            <w:vAlign w:val="bottom"/>
            <w:tcBorders>
              <w:bottom w:val="single" w:sz="8" w:color="FDF5E7"/>
            </w:tcBorders>
            <w:shd w:val="clear" w:color="auto" w:fill="FDF5E7"/>
          </w:tcPr>
          <w:p>
            <w:pPr>
              <w:spacing w:after="0"/>
              <w:rPr>
                <w:sz w:val="14"/>
                <w:szCs w:val="14"/>
                <w:color w:val="auto"/>
              </w:rPr>
            </w:pPr>
          </w:p>
        </w:tc>
        <w:tc>
          <w:tcPr>
            <w:tcW w:w="620" w:type="dxa"/>
            <w:vAlign w:val="bottom"/>
            <w:tcBorders>
              <w:bottom w:val="single" w:sz="8" w:color="FDF5E7"/>
            </w:tcBorders>
            <w:shd w:val="clear" w:color="auto" w:fill="FDF5E7"/>
          </w:tcPr>
          <w:p>
            <w:pPr>
              <w:spacing w:after="0"/>
              <w:rPr>
                <w:sz w:val="14"/>
                <w:szCs w:val="14"/>
                <w:color w:val="auto"/>
              </w:rPr>
            </w:pPr>
          </w:p>
        </w:tc>
        <w:tc>
          <w:tcPr>
            <w:tcW w:w="1200" w:type="dxa"/>
            <w:vAlign w:val="bottom"/>
            <w:tcBorders>
              <w:bottom w:val="single" w:sz="8" w:color="FDF5E7"/>
            </w:tcBorders>
            <w:shd w:val="clear" w:color="auto" w:fill="FDF5E7"/>
          </w:tcPr>
          <w:p>
            <w:pPr>
              <w:spacing w:after="0"/>
              <w:rPr>
                <w:sz w:val="14"/>
                <w:szCs w:val="14"/>
                <w:color w:val="auto"/>
              </w:rPr>
            </w:pPr>
          </w:p>
        </w:tc>
        <w:tc>
          <w:tcPr>
            <w:tcW w:w="600" w:type="dxa"/>
            <w:vAlign w:val="bottom"/>
            <w:tcBorders>
              <w:bottom w:val="single" w:sz="8" w:color="FDF5E7"/>
            </w:tcBorders>
            <w:shd w:val="clear" w:color="auto" w:fill="FDF5E7"/>
          </w:tcPr>
          <w:p>
            <w:pPr>
              <w:spacing w:after="0"/>
              <w:rPr>
                <w:sz w:val="14"/>
                <w:szCs w:val="14"/>
                <w:color w:val="auto"/>
              </w:rPr>
            </w:pPr>
          </w:p>
        </w:tc>
        <w:tc>
          <w:tcPr>
            <w:tcW w:w="1060" w:type="dxa"/>
            <w:vAlign w:val="bottom"/>
            <w:tcBorders>
              <w:bottom w:val="single" w:sz="8" w:color="FDF5E7"/>
            </w:tcBorders>
            <w:shd w:val="clear" w:color="auto" w:fill="FDF5E7"/>
          </w:tcPr>
          <w:p>
            <w:pPr>
              <w:spacing w:after="0"/>
              <w:rPr>
                <w:sz w:val="14"/>
                <w:szCs w:val="14"/>
                <w:color w:val="auto"/>
              </w:rPr>
            </w:pPr>
          </w:p>
        </w:tc>
        <w:tc>
          <w:tcPr>
            <w:tcW w:w="1100" w:type="dxa"/>
            <w:vAlign w:val="bottom"/>
            <w:tcBorders>
              <w:bottom w:val="single" w:sz="8" w:color="FDF5E7"/>
            </w:tcBorders>
            <w:shd w:val="clear" w:color="auto" w:fill="FDF5E7"/>
          </w:tcPr>
          <w:p>
            <w:pPr>
              <w:spacing w:after="0"/>
              <w:rPr>
                <w:sz w:val="14"/>
                <w:szCs w:val="14"/>
                <w:color w:val="auto"/>
              </w:rPr>
            </w:pPr>
          </w:p>
        </w:tc>
        <w:tc>
          <w:tcPr>
            <w:tcW w:w="820" w:type="dxa"/>
            <w:vAlign w:val="bottom"/>
            <w:tcBorders>
              <w:bottom w:val="single" w:sz="8" w:color="FDF5E7"/>
            </w:tcBorders>
            <w:shd w:val="clear" w:color="auto" w:fill="FDF5E7"/>
          </w:tcPr>
          <w:p>
            <w:pPr>
              <w:jc w:val="right"/>
              <w:ind w:right="18"/>
              <w:spacing w:after="0"/>
              <w:rPr>
                <w:sz w:val="20"/>
                <w:szCs w:val="20"/>
                <w:color w:val="auto"/>
              </w:rPr>
            </w:pPr>
            <w:r>
              <w:rPr>
                <w:rFonts w:ascii="Arial" w:cs="Arial" w:eastAsia="Arial" w:hAnsi="Arial"/>
                <w:sz w:val="12"/>
                <w:szCs w:val="12"/>
                <w:color w:val="auto"/>
              </w:rPr>
              <w:t>30,311</w:t>
            </w: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30,311</w:t>
            </w:r>
          </w:p>
        </w:tc>
        <w:tc>
          <w:tcPr>
            <w:tcW w:w="0" w:type="dxa"/>
            <w:vAlign w:val="bottom"/>
          </w:tcPr>
          <w:p>
            <w:pPr>
              <w:spacing w:after="0"/>
              <w:rPr>
                <w:sz w:val="1"/>
                <w:szCs w:val="1"/>
                <w:color w:val="auto"/>
              </w:rPr>
            </w:pPr>
          </w:p>
        </w:tc>
      </w:tr>
      <w:tr>
        <w:trPr>
          <w:trHeight w:val="173"/>
        </w:trPr>
        <w:tc>
          <w:tcPr>
            <w:tcW w:w="3940" w:type="dxa"/>
            <w:vAlign w:val="bottom"/>
            <w:gridSpan w:val="2"/>
          </w:tcPr>
          <w:p>
            <w:pPr>
              <w:ind w:left="20"/>
              <w:spacing w:after="0"/>
              <w:rPr>
                <w:sz w:val="20"/>
                <w:szCs w:val="20"/>
                <w:color w:val="auto"/>
              </w:rPr>
            </w:pPr>
            <w:r>
              <w:rPr>
                <w:rFonts w:ascii="Arial" w:cs="Arial" w:eastAsia="Arial" w:hAnsi="Arial"/>
                <w:sz w:val="12"/>
                <w:szCs w:val="12"/>
                <w:color w:val="3C3C3B"/>
              </w:rPr>
              <w:t>Other comprehensive income (loss)</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jc w:val="right"/>
              <w:ind w:right="98"/>
              <w:spacing w:after="0"/>
              <w:rPr>
                <w:sz w:val="20"/>
                <w:szCs w:val="20"/>
                <w:color w:val="auto"/>
              </w:rPr>
            </w:pPr>
            <w:r>
              <w:rPr>
                <w:rFonts w:ascii="Arial" w:cs="Arial" w:eastAsia="Arial" w:hAnsi="Arial"/>
                <w:sz w:val="12"/>
                <w:szCs w:val="12"/>
                <w:color w:val="auto"/>
              </w:rPr>
              <w:t>(877)</w:t>
            </w:r>
          </w:p>
        </w:tc>
        <w:tc>
          <w:tcPr>
            <w:tcW w:w="1100" w:type="dxa"/>
            <w:vAlign w:val="bottom"/>
          </w:tcPr>
          <w:p>
            <w:pPr>
              <w:jc w:val="right"/>
              <w:ind w:right="198"/>
              <w:spacing w:after="0"/>
              <w:rPr>
                <w:sz w:val="20"/>
                <w:szCs w:val="20"/>
                <w:color w:val="auto"/>
              </w:rPr>
            </w:pPr>
            <w:r>
              <w:rPr>
                <w:rFonts w:ascii="Arial" w:cs="Arial" w:eastAsia="Arial" w:hAnsi="Arial"/>
                <w:sz w:val="12"/>
                <w:szCs w:val="12"/>
                <w:color w:val="auto"/>
              </w:rPr>
              <w:t>(1,448)</w:t>
            </w:r>
          </w:p>
        </w:tc>
        <w:tc>
          <w:tcPr>
            <w:tcW w:w="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(2,325)</w:t>
            </w:r>
          </w:p>
        </w:tc>
        <w:tc>
          <w:tcPr>
            <w:tcW w:w="0" w:type="dxa"/>
            <w:vAlign w:val="bottom"/>
          </w:tcPr>
          <w:p>
            <w:pPr>
              <w:spacing w:after="0"/>
              <w:rPr>
                <w:sz w:val="1"/>
                <w:szCs w:val="1"/>
                <w:color w:val="auto"/>
              </w:rPr>
            </w:pPr>
          </w:p>
        </w:tc>
      </w:tr>
      <w:tr>
        <w:trPr>
          <w:trHeight w:val="26"/>
        </w:trPr>
        <w:tc>
          <w:tcPr>
            <w:tcW w:w="3940" w:type="dxa"/>
            <w:vAlign w:val="bottom"/>
            <w:tcBorders>
              <w:bottom w:val="single" w:sz="8" w:color="E99D25"/>
            </w:tcBorders>
            <w:gridSpan w:val="2"/>
          </w:tcPr>
          <w:p>
            <w:pPr>
              <w:spacing w:after="0"/>
              <w:rPr>
                <w:sz w:val="2"/>
                <w:szCs w:val="2"/>
                <w:color w:val="auto"/>
              </w:rPr>
            </w:pPr>
          </w:p>
        </w:tc>
        <w:tc>
          <w:tcPr>
            <w:tcW w:w="940" w:type="dxa"/>
            <w:vAlign w:val="bottom"/>
            <w:tcBorders>
              <w:bottom w:val="single" w:sz="8" w:color="E99D25"/>
            </w:tcBorders>
          </w:tcPr>
          <w:p>
            <w:pPr>
              <w:spacing w:after="0"/>
              <w:rPr>
                <w:sz w:val="2"/>
                <w:szCs w:val="2"/>
                <w:color w:val="auto"/>
              </w:rPr>
            </w:pPr>
          </w:p>
        </w:tc>
        <w:tc>
          <w:tcPr>
            <w:tcW w:w="620" w:type="dxa"/>
            <w:vAlign w:val="bottom"/>
            <w:tcBorders>
              <w:bottom w:val="single" w:sz="8" w:color="E99D25"/>
            </w:tcBorders>
          </w:tcPr>
          <w:p>
            <w:pPr>
              <w:spacing w:after="0"/>
              <w:rPr>
                <w:sz w:val="2"/>
                <w:szCs w:val="2"/>
                <w:color w:val="auto"/>
              </w:rPr>
            </w:pPr>
          </w:p>
        </w:tc>
        <w:tc>
          <w:tcPr>
            <w:tcW w:w="1200" w:type="dxa"/>
            <w:vAlign w:val="bottom"/>
            <w:tcBorders>
              <w:bottom w:val="single" w:sz="8" w:color="E99D25"/>
            </w:tcBorders>
          </w:tcPr>
          <w:p>
            <w:pPr>
              <w:spacing w:after="0"/>
              <w:rPr>
                <w:sz w:val="2"/>
                <w:szCs w:val="2"/>
                <w:color w:val="auto"/>
              </w:rPr>
            </w:pPr>
          </w:p>
        </w:tc>
        <w:tc>
          <w:tcPr>
            <w:tcW w:w="600" w:type="dxa"/>
            <w:vAlign w:val="bottom"/>
            <w:tcBorders>
              <w:bottom w:val="single" w:sz="8" w:color="E99D25"/>
            </w:tcBorders>
          </w:tcPr>
          <w:p>
            <w:pPr>
              <w:spacing w:after="0"/>
              <w:rPr>
                <w:sz w:val="2"/>
                <w:szCs w:val="2"/>
                <w:color w:val="auto"/>
              </w:rPr>
            </w:pPr>
          </w:p>
        </w:tc>
        <w:tc>
          <w:tcPr>
            <w:tcW w:w="1060" w:type="dxa"/>
            <w:vAlign w:val="bottom"/>
            <w:tcBorders>
              <w:bottom w:val="single" w:sz="8" w:color="E99D25"/>
            </w:tcBorders>
          </w:tcPr>
          <w:p>
            <w:pPr>
              <w:spacing w:after="0"/>
              <w:rPr>
                <w:sz w:val="2"/>
                <w:szCs w:val="2"/>
                <w:color w:val="auto"/>
              </w:rPr>
            </w:pPr>
          </w:p>
        </w:tc>
        <w:tc>
          <w:tcPr>
            <w:tcW w:w="1100" w:type="dxa"/>
            <w:vAlign w:val="bottom"/>
            <w:tcBorders>
              <w:bottom w:val="single" w:sz="8" w:color="E99D25"/>
            </w:tcBorders>
          </w:tcPr>
          <w:p>
            <w:pPr>
              <w:spacing w:after="0"/>
              <w:rPr>
                <w:sz w:val="2"/>
                <w:szCs w:val="2"/>
                <w:color w:val="auto"/>
              </w:rPr>
            </w:pPr>
          </w:p>
        </w:tc>
        <w:tc>
          <w:tcPr>
            <w:tcW w:w="820" w:type="dxa"/>
            <w:vAlign w:val="bottom"/>
            <w:tcBorders>
              <w:bottom w:val="single" w:sz="8" w:color="E99D25"/>
            </w:tcBorders>
          </w:tcPr>
          <w:p>
            <w:pPr>
              <w:spacing w:after="0"/>
              <w:rPr>
                <w:sz w:val="2"/>
                <w:szCs w:val="2"/>
                <w:color w:val="auto"/>
              </w:rPr>
            </w:pPr>
          </w:p>
        </w:tc>
        <w:tc>
          <w:tcPr>
            <w:tcW w:w="940" w:type="dxa"/>
            <w:vAlign w:val="bottom"/>
            <w:tcBorders>
              <w:bottom w:val="single" w:sz="8" w:color="E99D25"/>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ind w:left="20"/>
              <w:spacing w:after="0"/>
              <w:rPr>
                <w:sz w:val="20"/>
                <w:szCs w:val="20"/>
                <w:color w:val="auto"/>
              </w:rPr>
            </w:pPr>
            <w:r>
              <w:rPr>
                <w:rFonts w:ascii="Arial" w:cs="Arial" w:eastAsia="Arial" w:hAnsi="Arial"/>
                <w:sz w:val="12"/>
                <w:szCs w:val="12"/>
                <w:b w:val="1"/>
                <w:bCs w:val="1"/>
                <w:color w:val="3C3C3B"/>
              </w:rPr>
              <w:t>Total comprehensive income (loss)</w:t>
            </w:r>
          </w:p>
        </w:tc>
        <w:tc>
          <w:tcPr>
            <w:tcW w:w="940" w:type="dxa"/>
            <w:vAlign w:val="bottom"/>
          </w:tcPr>
          <w:p>
            <w:pPr>
              <w:jc w:val="right"/>
              <w:ind w:right="138"/>
              <w:spacing w:after="0"/>
              <w:rPr>
                <w:sz w:val="20"/>
                <w:szCs w:val="20"/>
                <w:color w:val="auto"/>
              </w:rPr>
            </w:pPr>
            <w:r>
              <w:rPr>
                <w:rFonts w:ascii="Arial" w:cs="Arial" w:eastAsia="Arial" w:hAnsi="Arial"/>
                <w:sz w:val="12"/>
                <w:szCs w:val="12"/>
                <w:b w:val="1"/>
                <w:bCs w:val="1"/>
                <w:color w:val="auto"/>
              </w:rPr>
              <w:t>—</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00" w:type="dxa"/>
            <w:vAlign w:val="bottom"/>
          </w:tcPr>
          <w:p>
            <w:pPr>
              <w:jc w:val="right"/>
              <w:ind w:right="298"/>
              <w:spacing w:after="0"/>
              <w:rPr>
                <w:sz w:val="20"/>
                <w:szCs w:val="20"/>
                <w:color w:val="auto"/>
              </w:rPr>
            </w:pPr>
            <w:r>
              <w:rPr>
                <w:rFonts w:ascii="Arial" w:cs="Arial" w:eastAsia="Arial" w:hAnsi="Arial"/>
                <w:sz w:val="12"/>
                <w:szCs w:val="12"/>
                <w:b w:val="1"/>
                <w:bCs w:val="1"/>
                <w:color w:val="auto"/>
              </w:rPr>
              <w:t>—</w:t>
            </w:r>
          </w:p>
        </w:tc>
        <w:tc>
          <w:tcPr>
            <w:tcW w:w="600" w:type="dxa"/>
            <w:vAlign w:val="bottom"/>
          </w:tcPr>
          <w:p>
            <w:pPr>
              <w:jc w:val="right"/>
              <w:ind w:right="18"/>
              <w:spacing w:after="0"/>
              <w:rPr>
                <w:sz w:val="20"/>
                <w:szCs w:val="20"/>
                <w:color w:val="auto"/>
              </w:rPr>
            </w:pPr>
            <w:r>
              <w:rPr>
                <w:rFonts w:ascii="Arial" w:cs="Arial" w:eastAsia="Arial" w:hAnsi="Arial"/>
                <w:sz w:val="12"/>
                <w:szCs w:val="12"/>
                <w:b w:val="1"/>
                <w:bCs w:val="1"/>
                <w:color w:val="auto"/>
              </w:rPr>
              <w:t>—</w:t>
            </w:r>
          </w:p>
        </w:tc>
        <w:tc>
          <w:tcPr>
            <w:tcW w:w="1060" w:type="dxa"/>
            <w:vAlign w:val="bottom"/>
          </w:tcPr>
          <w:p>
            <w:pPr>
              <w:jc w:val="right"/>
              <w:ind w:right="98"/>
              <w:spacing w:after="0"/>
              <w:rPr>
                <w:sz w:val="20"/>
                <w:szCs w:val="20"/>
                <w:color w:val="auto"/>
              </w:rPr>
            </w:pPr>
            <w:r>
              <w:rPr>
                <w:rFonts w:ascii="Arial" w:cs="Arial" w:eastAsia="Arial" w:hAnsi="Arial"/>
                <w:sz w:val="12"/>
                <w:szCs w:val="12"/>
                <w:b w:val="1"/>
                <w:bCs w:val="1"/>
                <w:color w:val="auto"/>
              </w:rPr>
              <w:t>(877)</w:t>
            </w:r>
          </w:p>
        </w:tc>
        <w:tc>
          <w:tcPr>
            <w:tcW w:w="1100" w:type="dxa"/>
            <w:vAlign w:val="bottom"/>
          </w:tcPr>
          <w:p>
            <w:pPr>
              <w:jc w:val="right"/>
              <w:ind w:right="198"/>
              <w:spacing w:after="0"/>
              <w:rPr>
                <w:sz w:val="20"/>
                <w:szCs w:val="20"/>
                <w:color w:val="auto"/>
              </w:rPr>
            </w:pPr>
            <w:r>
              <w:rPr>
                <w:rFonts w:ascii="Arial" w:cs="Arial" w:eastAsia="Arial" w:hAnsi="Arial"/>
                <w:sz w:val="12"/>
                <w:szCs w:val="12"/>
                <w:b w:val="1"/>
                <w:bCs w:val="1"/>
                <w:color w:val="auto"/>
              </w:rPr>
              <w:t>(1,448)</w:t>
            </w:r>
          </w:p>
        </w:tc>
        <w:tc>
          <w:tcPr>
            <w:tcW w:w="820" w:type="dxa"/>
            <w:vAlign w:val="bottom"/>
          </w:tcPr>
          <w:p>
            <w:pPr>
              <w:jc w:val="right"/>
              <w:ind w:right="18"/>
              <w:spacing w:after="0"/>
              <w:rPr>
                <w:sz w:val="20"/>
                <w:szCs w:val="20"/>
                <w:color w:val="auto"/>
              </w:rPr>
            </w:pPr>
            <w:r>
              <w:rPr>
                <w:rFonts w:ascii="Arial" w:cs="Arial" w:eastAsia="Arial" w:hAnsi="Arial"/>
                <w:sz w:val="12"/>
                <w:szCs w:val="12"/>
                <w:b w:val="1"/>
                <w:bCs w:val="1"/>
                <w:color w:val="auto"/>
              </w:rPr>
              <w:t>30,311</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27,986</w:t>
            </w:r>
          </w:p>
        </w:tc>
        <w:tc>
          <w:tcPr>
            <w:tcW w:w="0" w:type="dxa"/>
            <w:vAlign w:val="bottom"/>
          </w:tcPr>
          <w:p>
            <w:pPr>
              <w:spacing w:after="0"/>
              <w:rPr>
                <w:sz w:val="1"/>
                <w:szCs w:val="1"/>
                <w:color w:val="auto"/>
              </w:rPr>
            </w:pPr>
          </w:p>
        </w:tc>
      </w:tr>
      <w:tr>
        <w:trPr>
          <w:trHeight w:val="20"/>
        </w:trPr>
        <w:tc>
          <w:tcPr>
            <w:tcW w:w="3940" w:type="dxa"/>
            <w:vAlign w:val="bottom"/>
            <w:tcBorders>
              <w:bottom w:val="single" w:sz="8" w:color="E99D25"/>
            </w:tcBorders>
            <w:gridSpan w:val="2"/>
          </w:tcPr>
          <w:p>
            <w:pPr>
              <w:spacing w:after="0" w:line="20" w:lineRule="exact"/>
              <w:rPr>
                <w:sz w:val="1"/>
                <w:szCs w:val="1"/>
                <w:color w:val="auto"/>
              </w:rPr>
            </w:pPr>
          </w:p>
        </w:tc>
        <w:tc>
          <w:tcPr>
            <w:tcW w:w="940" w:type="dxa"/>
            <w:vAlign w:val="bottom"/>
            <w:tcBorders>
              <w:bottom w:val="single" w:sz="8" w:color="E99D25"/>
            </w:tcBorders>
          </w:tcPr>
          <w:p>
            <w:pPr>
              <w:spacing w:after="0" w:line="20" w:lineRule="exact"/>
              <w:rPr>
                <w:sz w:val="1"/>
                <w:szCs w:val="1"/>
                <w:color w:val="auto"/>
              </w:rPr>
            </w:pPr>
          </w:p>
        </w:tc>
        <w:tc>
          <w:tcPr>
            <w:tcW w:w="620" w:type="dxa"/>
            <w:vAlign w:val="bottom"/>
            <w:tcBorders>
              <w:bottom w:val="single" w:sz="8" w:color="E99D25"/>
            </w:tcBorders>
          </w:tcPr>
          <w:p>
            <w:pPr>
              <w:spacing w:after="0" w:line="20" w:lineRule="exact"/>
              <w:rPr>
                <w:sz w:val="1"/>
                <w:szCs w:val="1"/>
                <w:color w:val="auto"/>
              </w:rPr>
            </w:pPr>
          </w:p>
        </w:tc>
        <w:tc>
          <w:tcPr>
            <w:tcW w:w="1200" w:type="dxa"/>
            <w:vAlign w:val="bottom"/>
            <w:tcBorders>
              <w:bottom w:val="single" w:sz="8" w:color="E99D25"/>
            </w:tcBorders>
          </w:tcPr>
          <w:p>
            <w:pPr>
              <w:spacing w:after="0" w:line="20" w:lineRule="exact"/>
              <w:rPr>
                <w:sz w:val="1"/>
                <w:szCs w:val="1"/>
                <w:color w:val="auto"/>
              </w:rPr>
            </w:pPr>
          </w:p>
        </w:tc>
        <w:tc>
          <w:tcPr>
            <w:tcW w:w="600" w:type="dxa"/>
            <w:vAlign w:val="bottom"/>
            <w:tcBorders>
              <w:bottom w:val="single" w:sz="8" w:color="E99D25"/>
            </w:tcBorders>
          </w:tcPr>
          <w:p>
            <w:pPr>
              <w:spacing w:after="0" w:line="20" w:lineRule="exact"/>
              <w:rPr>
                <w:sz w:val="1"/>
                <w:szCs w:val="1"/>
                <w:color w:val="auto"/>
              </w:rPr>
            </w:pPr>
          </w:p>
        </w:tc>
        <w:tc>
          <w:tcPr>
            <w:tcW w:w="1060" w:type="dxa"/>
            <w:vAlign w:val="bottom"/>
            <w:tcBorders>
              <w:bottom w:val="single" w:sz="8" w:color="E99D25"/>
            </w:tcBorders>
          </w:tcPr>
          <w:p>
            <w:pPr>
              <w:spacing w:after="0" w:line="20" w:lineRule="exact"/>
              <w:rPr>
                <w:sz w:val="1"/>
                <w:szCs w:val="1"/>
                <w:color w:val="auto"/>
              </w:rPr>
            </w:pPr>
          </w:p>
        </w:tc>
        <w:tc>
          <w:tcPr>
            <w:tcW w:w="1100" w:type="dxa"/>
            <w:vAlign w:val="bottom"/>
            <w:tcBorders>
              <w:bottom w:val="single" w:sz="8" w:color="E99D25"/>
            </w:tcBorders>
          </w:tcPr>
          <w:p>
            <w:pPr>
              <w:spacing w:after="0" w:line="20" w:lineRule="exact"/>
              <w:rPr>
                <w:sz w:val="1"/>
                <w:szCs w:val="1"/>
                <w:color w:val="auto"/>
              </w:rPr>
            </w:pPr>
          </w:p>
        </w:tc>
        <w:tc>
          <w:tcPr>
            <w:tcW w:w="820" w:type="dxa"/>
            <w:vAlign w:val="bottom"/>
            <w:tcBorders>
              <w:bottom w:val="single" w:sz="8" w:color="E99D25"/>
            </w:tcBorders>
          </w:tcPr>
          <w:p>
            <w:pPr>
              <w:spacing w:after="0" w:line="20" w:lineRule="exact"/>
              <w:rPr>
                <w:sz w:val="1"/>
                <w:szCs w:val="1"/>
                <w:color w:val="auto"/>
              </w:rPr>
            </w:pPr>
          </w:p>
        </w:tc>
        <w:tc>
          <w:tcPr>
            <w:tcW w:w="940" w:type="dxa"/>
            <w:vAlign w:val="bottom"/>
            <w:tcBorders>
              <w:bottom w:val="single" w:sz="8" w:color="E99D2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394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2"/>
                <w:szCs w:val="12"/>
                <w:color w:val="3C3C3B"/>
              </w:rPr>
              <w:t>Allocation of prior period profit (loss)</w:t>
            </w:r>
          </w:p>
        </w:tc>
        <w:tc>
          <w:tcPr>
            <w:tcW w:w="940" w:type="dxa"/>
            <w:vAlign w:val="bottom"/>
            <w:tcBorders>
              <w:bottom w:val="single" w:sz="8" w:color="FDF5E7"/>
            </w:tcBorders>
            <w:shd w:val="clear" w:color="auto" w:fill="FDF5E7"/>
          </w:tcPr>
          <w:p>
            <w:pPr>
              <w:spacing w:after="0"/>
              <w:rPr>
                <w:sz w:val="14"/>
                <w:szCs w:val="14"/>
                <w:color w:val="auto"/>
              </w:rPr>
            </w:pPr>
          </w:p>
        </w:tc>
        <w:tc>
          <w:tcPr>
            <w:tcW w:w="620" w:type="dxa"/>
            <w:vAlign w:val="bottom"/>
            <w:tcBorders>
              <w:bottom w:val="single" w:sz="8" w:color="FDF5E7"/>
            </w:tcBorders>
            <w:shd w:val="clear" w:color="auto" w:fill="FDF5E7"/>
          </w:tcPr>
          <w:p>
            <w:pPr>
              <w:spacing w:after="0"/>
              <w:rPr>
                <w:sz w:val="14"/>
                <w:szCs w:val="14"/>
                <w:color w:val="auto"/>
              </w:rPr>
            </w:pPr>
          </w:p>
        </w:tc>
        <w:tc>
          <w:tcPr>
            <w:tcW w:w="1200" w:type="dxa"/>
            <w:vAlign w:val="bottom"/>
            <w:tcBorders>
              <w:bottom w:val="single" w:sz="8" w:color="FDF5E7"/>
            </w:tcBorders>
            <w:shd w:val="clear" w:color="auto" w:fill="FDF5E7"/>
          </w:tcPr>
          <w:p>
            <w:pPr>
              <w:spacing w:after="0"/>
              <w:rPr>
                <w:sz w:val="14"/>
                <w:szCs w:val="14"/>
                <w:color w:val="auto"/>
              </w:rPr>
            </w:pPr>
          </w:p>
        </w:tc>
        <w:tc>
          <w:tcPr>
            <w:tcW w:w="600" w:type="dxa"/>
            <w:vAlign w:val="bottom"/>
            <w:tcBorders>
              <w:bottom w:val="single" w:sz="8" w:color="FDF5E7"/>
            </w:tcBorders>
            <w:shd w:val="clear" w:color="auto" w:fill="FDF5E7"/>
          </w:tcPr>
          <w:p>
            <w:pPr>
              <w:spacing w:after="0"/>
              <w:rPr>
                <w:sz w:val="14"/>
                <w:szCs w:val="14"/>
                <w:color w:val="auto"/>
              </w:rPr>
            </w:pPr>
          </w:p>
        </w:tc>
        <w:tc>
          <w:tcPr>
            <w:tcW w:w="1060" w:type="dxa"/>
            <w:vAlign w:val="bottom"/>
            <w:tcBorders>
              <w:bottom w:val="single" w:sz="8" w:color="FDF5E7"/>
            </w:tcBorders>
            <w:shd w:val="clear" w:color="auto" w:fill="FDF5E7"/>
          </w:tcPr>
          <w:p>
            <w:pPr>
              <w:jc w:val="right"/>
              <w:ind w:right="98"/>
              <w:spacing w:after="0"/>
              <w:rPr>
                <w:sz w:val="20"/>
                <w:szCs w:val="20"/>
                <w:color w:val="auto"/>
              </w:rPr>
            </w:pPr>
            <w:r>
              <w:rPr>
                <w:rFonts w:ascii="Arial" w:cs="Arial" w:eastAsia="Arial" w:hAnsi="Arial"/>
                <w:sz w:val="12"/>
                <w:szCs w:val="12"/>
                <w:color w:val="auto"/>
              </w:rPr>
              <w:t>(28,894)</w:t>
            </w:r>
          </w:p>
        </w:tc>
        <w:tc>
          <w:tcPr>
            <w:tcW w:w="1100" w:type="dxa"/>
            <w:vAlign w:val="bottom"/>
            <w:tcBorders>
              <w:bottom w:val="single" w:sz="8" w:color="FDF5E7"/>
            </w:tcBorders>
            <w:shd w:val="clear" w:color="auto" w:fill="FDF5E7"/>
          </w:tcPr>
          <w:p>
            <w:pPr>
              <w:spacing w:after="0"/>
              <w:rPr>
                <w:sz w:val="14"/>
                <w:szCs w:val="14"/>
                <w:color w:val="auto"/>
              </w:rPr>
            </w:pPr>
          </w:p>
        </w:tc>
        <w:tc>
          <w:tcPr>
            <w:tcW w:w="820" w:type="dxa"/>
            <w:vAlign w:val="bottom"/>
            <w:tcBorders>
              <w:bottom w:val="single" w:sz="8" w:color="FDF5E7"/>
            </w:tcBorders>
            <w:shd w:val="clear" w:color="auto" w:fill="FDF5E7"/>
          </w:tcPr>
          <w:p>
            <w:pPr>
              <w:jc w:val="right"/>
              <w:ind w:right="18"/>
              <w:spacing w:after="0"/>
              <w:rPr>
                <w:sz w:val="20"/>
                <w:szCs w:val="20"/>
                <w:color w:val="auto"/>
              </w:rPr>
            </w:pPr>
            <w:r>
              <w:rPr>
                <w:rFonts w:ascii="Arial" w:cs="Arial" w:eastAsia="Arial" w:hAnsi="Arial"/>
                <w:sz w:val="12"/>
                <w:szCs w:val="12"/>
                <w:color w:val="auto"/>
              </w:rPr>
              <w:t>28,894</w:t>
            </w: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3940" w:type="dxa"/>
            <w:vAlign w:val="bottom"/>
            <w:gridSpan w:val="2"/>
          </w:tcPr>
          <w:p>
            <w:pPr>
              <w:ind w:left="20"/>
              <w:spacing w:after="0"/>
              <w:rPr>
                <w:sz w:val="20"/>
                <w:szCs w:val="20"/>
                <w:color w:val="auto"/>
              </w:rPr>
            </w:pPr>
            <w:r>
              <w:rPr>
                <w:rFonts w:ascii="Arial" w:cs="Arial" w:eastAsia="Arial" w:hAnsi="Arial"/>
                <w:sz w:val="12"/>
                <w:szCs w:val="12"/>
                <w:color w:val="3C3C3B"/>
              </w:rPr>
              <w:t>Capital increase</w:t>
            </w:r>
          </w:p>
        </w:tc>
        <w:tc>
          <w:tcPr>
            <w:tcW w:w="940" w:type="dxa"/>
            <w:vAlign w:val="bottom"/>
          </w:tcPr>
          <w:p>
            <w:pPr>
              <w:jc w:val="right"/>
              <w:ind w:right="138"/>
              <w:spacing w:after="0"/>
              <w:rPr>
                <w:sz w:val="20"/>
                <w:szCs w:val="20"/>
                <w:color w:val="auto"/>
              </w:rPr>
            </w:pPr>
            <w:r>
              <w:rPr>
                <w:rFonts w:ascii="Arial" w:cs="Arial" w:eastAsia="Arial" w:hAnsi="Arial"/>
                <w:sz w:val="12"/>
                <w:szCs w:val="12"/>
                <w:color w:val="auto"/>
              </w:rPr>
              <w:t>71,500</w:t>
            </w:r>
          </w:p>
        </w:tc>
        <w:tc>
          <w:tcPr>
            <w:tcW w:w="620" w:type="dxa"/>
            <w:vAlign w:val="bottom"/>
          </w:tcPr>
          <w:p>
            <w:pPr>
              <w:jc w:val="right"/>
              <w:spacing w:after="0"/>
              <w:rPr>
                <w:sz w:val="20"/>
                <w:szCs w:val="20"/>
                <w:color w:val="auto"/>
              </w:rPr>
            </w:pPr>
            <w:r>
              <w:rPr>
                <w:rFonts w:ascii="Arial" w:cs="Arial" w:eastAsia="Arial" w:hAnsi="Arial"/>
                <w:sz w:val="12"/>
                <w:szCs w:val="12"/>
                <w:color w:val="auto"/>
              </w:rPr>
              <w:t>18</w:t>
            </w:r>
          </w:p>
        </w:tc>
        <w:tc>
          <w:tcPr>
            <w:tcW w:w="1200" w:type="dxa"/>
            <w:vAlign w:val="bottom"/>
          </w:tcPr>
          <w:p>
            <w:pPr>
              <w:jc w:val="right"/>
              <w:ind w:right="298"/>
              <w:spacing w:after="0"/>
              <w:rPr>
                <w:sz w:val="20"/>
                <w:szCs w:val="20"/>
                <w:color w:val="auto"/>
              </w:rPr>
            </w:pPr>
            <w:r>
              <w:rPr>
                <w:rFonts w:ascii="Arial" w:cs="Arial" w:eastAsia="Arial" w:hAnsi="Arial"/>
                <w:sz w:val="12"/>
                <w:szCs w:val="12"/>
                <w:color w:val="auto"/>
              </w:rPr>
              <w:t>662</w:t>
            </w:r>
          </w:p>
        </w:tc>
        <w:tc>
          <w:tcPr>
            <w:tcW w:w="600" w:type="dxa"/>
            <w:vAlign w:val="bottom"/>
          </w:tcPr>
          <w:p>
            <w:pPr>
              <w:spacing w:after="0"/>
              <w:rPr>
                <w:sz w:val="15"/>
                <w:szCs w:val="15"/>
                <w:color w:val="auto"/>
              </w:rPr>
            </w:pPr>
          </w:p>
        </w:tc>
        <w:tc>
          <w:tcPr>
            <w:tcW w:w="1060" w:type="dxa"/>
            <w:vAlign w:val="bottom"/>
          </w:tcPr>
          <w:p>
            <w:pPr>
              <w:jc w:val="right"/>
              <w:ind w:right="98"/>
              <w:spacing w:after="0"/>
              <w:rPr>
                <w:sz w:val="20"/>
                <w:szCs w:val="20"/>
                <w:color w:val="auto"/>
              </w:rPr>
            </w:pPr>
            <w:r>
              <w:rPr>
                <w:rFonts w:ascii="Arial" w:cs="Arial" w:eastAsia="Arial" w:hAnsi="Arial"/>
                <w:sz w:val="12"/>
                <w:szCs w:val="12"/>
                <w:color w:val="auto"/>
              </w:rPr>
              <w:t>(7)</w:t>
            </w: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673</w:t>
            </w:r>
          </w:p>
        </w:tc>
        <w:tc>
          <w:tcPr>
            <w:tcW w:w="0" w:type="dxa"/>
            <w:vAlign w:val="bottom"/>
          </w:tcPr>
          <w:p>
            <w:pPr>
              <w:spacing w:after="0"/>
              <w:rPr>
                <w:sz w:val="1"/>
                <w:szCs w:val="1"/>
                <w:color w:val="auto"/>
              </w:rPr>
            </w:pPr>
          </w:p>
        </w:tc>
      </w:tr>
      <w:tr>
        <w:trPr>
          <w:trHeight w:val="26"/>
        </w:trPr>
        <w:tc>
          <w:tcPr>
            <w:tcW w:w="39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94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4"/>
                <w:szCs w:val="14"/>
                <w:color w:val="auto"/>
              </w:rPr>
              <w:t>Equity component of OCEANE net of deferred taxes</w:t>
            </w:r>
          </w:p>
        </w:tc>
        <w:tc>
          <w:tcPr>
            <w:tcW w:w="940" w:type="dxa"/>
            <w:vAlign w:val="bottom"/>
            <w:tcBorders>
              <w:bottom w:val="single" w:sz="8" w:color="FDF5E7"/>
            </w:tcBorders>
            <w:shd w:val="clear" w:color="auto" w:fill="FDF5E7"/>
          </w:tcPr>
          <w:p>
            <w:pPr>
              <w:spacing w:after="0"/>
              <w:rPr>
                <w:sz w:val="17"/>
                <w:szCs w:val="17"/>
                <w:color w:val="auto"/>
              </w:rPr>
            </w:pPr>
          </w:p>
        </w:tc>
        <w:tc>
          <w:tcPr>
            <w:tcW w:w="620" w:type="dxa"/>
            <w:vAlign w:val="bottom"/>
            <w:tcBorders>
              <w:bottom w:val="single" w:sz="8" w:color="FDF5E7"/>
            </w:tcBorders>
            <w:shd w:val="clear" w:color="auto" w:fill="FDF5E7"/>
          </w:tcPr>
          <w:p>
            <w:pPr>
              <w:spacing w:after="0"/>
              <w:rPr>
                <w:sz w:val="17"/>
                <w:szCs w:val="17"/>
                <w:color w:val="auto"/>
              </w:rPr>
            </w:pPr>
          </w:p>
        </w:tc>
        <w:tc>
          <w:tcPr>
            <w:tcW w:w="1200" w:type="dxa"/>
            <w:vAlign w:val="bottom"/>
            <w:tcBorders>
              <w:bottom w:val="single" w:sz="8" w:color="FDF5E7"/>
            </w:tcBorders>
            <w:shd w:val="clear" w:color="auto" w:fill="FDF5E7"/>
          </w:tcPr>
          <w:p>
            <w:pPr>
              <w:jc w:val="right"/>
              <w:ind w:right="298"/>
              <w:spacing w:after="0"/>
              <w:rPr>
                <w:sz w:val="20"/>
                <w:szCs w:val="20"/>
                <w:color w:val="auto"/>
              </w:rPr>
            </w:pPr>
            <w:r>
              <w:rPr>
                <w:rFonts w:ascii="Arial" w:cs="Arial" w:eastAsia="Arial" w:hAnsi="Arial"/>
                <w:sz w:val="12"/>
                <w:szCs w:val="12"/>
                <w:color w:val="auto"/>
              </w:rPr>
              <w:t>232</w:t>
            </w:r>
          </w:p>
        </w:tc>
        <w:tc>
          <w:tcPr>
            <w:tcW w:w="600" w:type="dxa"/>
            <w:vAlign w:val="bottom"/>
            <w:tcBorders>
              <w:bottom w:val="single" w:sz="8" w:color="FDF5E7"/>
            </w:tcBorders>
            <w:shd w:val="clear" w:color="auto" w:fill="FDF5E7"/>
          </w:tcPr>
          <w:p>
            <w:pPr>
              <w:spacing w:after="0"/>
              <w:rPr>
                <w:sz w:val="17"/>
                <w:szCs w:val="17"/>
                <w:color w:val="auto"/>
              </w:rPr>
            </w:pPr>
          </w:p>
        </w:tc>
        <w:tc>
          <w:tcPr>
            <w:tcW w:w="1060" w:type="dxa"/>
            <w:vAlign w:val="bottom"/>
            <w:tcBorders>
              <w:bottom w:val="single" w:sz="8" w:color="FDF5E7"/>
            </w:tcBorders>
            <w:shd w:val="clear" w:color="auto" w:fill="FDF5E7"/>
          </w:tcPr>
          <w:p>
            <w:pPr>
              <w:spacing w:after="0"/>
              <w:rPr>
                <w:sz w:val="17"/>
                <w:szCs w:val="17"/>
                <w:color w:val="auto"/>
              </w:rPr>
            </w:pPr>
          </w:p>
        </w:tc>
        <w:tc>
          <w:tcPr>
            <w:tcW w:w="1100" w:type="dxa"/>
            <w:vAlign w:val="bottom"/>
            <w:tcBorders>
              <w:bottom w:val="single" w:sz="8" w:color="FDF5E7"/>
            </w:tcBorders>
            <w:shd w:val="clear" w:color="auto" w:fill="FDF5E7"/>
          </w:tcPr>
          <w:p>
            <w:pPr>
              <w:spacing w:after="0"/>
              <w:rPr>
                <w:sz w:val="17"/>
                <w:szCs w:val="17"/>
                <w:color w:val="auto"/>
              </w:rPr>
            </w:pPr>
          </w:p>
        </w:tc>
        <w:tc>
          <w:tcPr>
            <w:tcW w:w="820" w:type="dxa"/>
            <w:vAlign w:val="bottom"/>
            <w:tcBorders>
              <w:bottom w:val="single" w:sz="8" w:color="FDF5E7"/>
            </w:tcBorders>
            <w:shd w:val="clear" w:color="auto" w:fill="FDF5E7"/>
          </w:tcPr>
          <w:p>
            <w:pPr>
              <w:spacing w:after="0"/>
              <w:rPr>
                <w:sz w:val="17"/>
                <w:szCs w:val="17"/>
                <w:color w:val="auto"/>
              </w:rPr>
            </w:pP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232</w:t>
            </w:r>
          </w:p>
        </w:tc>
        <w:tc>
          <w:tcPr>
            <w:tcW w:w="0" w:type="dxa"/>
            <w:vAlign w:val="bottom"/>
          </w:tcPr>
          <w:p>
            <w:pPr>
              <w:spacing w:after="0"/>
              <w:rPr>
                <w:sz w:val="1"/>
                <w:szCs w:val="1"/>
                <w:color w:val="auto"/>
              </w:rPr>
            </w:pPr>
          </w:p>
        </w:tc>
      </w:tr>
      <w:tr>
        <w:trPr>
          <w:trHeight w:val="173"/>
        </w:trPr>
        <w:tc>
          <w:tcPr>
            <w:tcW w:w="3940" w:type="dxa"/>
            <w:vAlign w:val="bottom"/>
            <w:gridSpan w:val="2"/>
          </w:tcPr>
          <w:p>
            <w:pPr>
              <w:ind w:left="20"/>
              <w:spacing w:after="0"/>
              <w:rPr>
                <w:sz w:val="20"/>
                <w:szCs w:val="20"/>
                <w:color w:val="auto"/>
              </w:rPr>
            </w:pPr>
            <w:r>
              <w:rPr>
                <w:rFonts w:ascii="Arial" w:cs="Arial" w:eastAsia="Arial" w:hAnsi="Arial"/>
                <w:sz w:val="12"/>
                <w:szCs w:val="12"/>
                <w:color w:val="3C3C3B"/>
              </w:rPr>
              <w:t>Share-based compensation</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jc w:val="right"/>
              <w:ind w:right="298"/>
              <w:spacing w:after="0"/>
              <w:rPr>
                <w:sz w:val="20"/>
                <w:szCs w:val="20"/>
                <w:color w:val="auto"/>
              </w:rPr>
            </w:pPr>
            <w:r>
              <w:rPr>
                <w:rFonts w:ascii="Arial" w:cs="Arial" w:eastAsia="Arial" w:hAnsi="Arial"/>
                <w:sz w:val="12"/>
                <w:szCs w:val="12"/>
                <w:color w:val="auto"/>
              </w:rPr>
              <w:t>334</w:t>
            </w: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334</w:t>
            </w:r>
          </w:p>
        </w:tc>
        <w:tc>
          <w:tcPr>
            <w:tcW w:w="0" w:type="dxa"/>
            <w:vAlign w:val="bottom"/>
          </w:tcPr>
          <w:p>
            <w:pPr>
              <w:spacing w:after="0"/>
              <w:rPr>
                <w:sz w:val="1"/>
                <w:szCs w:val="1"/>
                <w:color w:val="auto"/>
              </w:rPr>
            </w:pPr>
          </w:p>
        </w:tc>
      </w:tr>
      <w:tr>
        <w:trPr>
          <w:trHeight w:val="26"/>
        </w:trPr>
        <w:tc>
          <w:tcPr>
            <w:tcW w:w="39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94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2"/>
                <w:szCs w:val="12"/>
                <w:color w:val="3C3C3B"/>
              </w:rPr>
              <w:t>Treasury shares</w:t>
            </w:r>
          </w:p>
        </w:tc>
        <w:tc>
          <w:tcPr>
            <w:tcW w:w="940" w:type="dxa"/>
            <w:vAlign w:val="bottom"/>
            <w:tcBorders>
              <w:bottom w:val="single" w:sz="8" w:color="FDF5E7"/>
            </w:tcBorders>
            <w:shd w:val="clear" w:color="auto" w:fill="FDF5E7"/>
          </w:tcPr>
          <w:p>
            <w:pPr>
              <w:spacing w:after="0"/>
              <w:rPr>
                <w:sz w:val="15"/>
                <w:szCs w:val="15"/>
                <w:color w:val="auto"/>
              </w:rPr>
            </w:pPr>
          </w:p>
        </w:tc>
        <w:tc>
          <w:tcPr>
            <w:tcW w:w="620" w:type="dxa"/>
            <w:vAlign w:val="bottom"/>
            <w:tcBorders>
              <w:bottom w:val="single" w:sz="8" w:color="FDF5E7"/>
            </w:tcBorders>
            <w:shd w:val="clear" w:color="auto" w:fill="FDF5E7"/>
          </w:tcPr>
          <w:p>
            <w:pPr>
              <w:spacing w:after="0"/>
              <w:rPr>
                <w:sz w:val="15"/>
                <w:szCs w:val="15"/>
                <w:color w:val="auto"/>
              </w:rPr>
            </w:pPr>
          </w:p>
        </w:tc>
        <w:tc>
          <w:tcPr>
            <w:tcW w:w="1200" w:type="dxa"/>
            <w:vAlign w:val="bottom"/>
            <w:tcBorders>
              <w:bottom w:val="single" w:sz="8" w:color="FDF5E7"/>
            </w:tcBorders>
            <w:shd w:val="clear" w:color="auto" w:fill="FDF5E7"/>
          </w:tcPr>
          <w:p>
            <w:pPr>
              <w:spacing w:after="0"/>
              <w:rPr>
                <w:sz w:val="15"/>
                <w:szCs w:val="15"/>
                <w:color w:val="auto"/>
              </w:rPr>
            </w:pPr>
          </w:p>
        </w:tc>
        <w:tc>
          <w:tcPr>
            <w:tcW w:w="600" w:type="dxa"/>
            <w:vAlign w:val="bottom"/>
            <w:tcBorders>
              <w:bottom w:val="single" w:sz="8" w:color="FDF5E7"/>
            </w:tcBorders>
            <w:shd w:val="clear" w:color="auto" w:fill="FDF5E7"/>
          </w:tcPr>
          <w:p>
            <w:pPr>
              <w:jc w:val="right"/>
              <w:ind w:right="18"/>
              <w:spacing w:after="0"/>
              <w:rPr>
                <w:sz w:val="20"/>
                <w:szCs w:val="20"/>
                <w:color w:val="auto"/>
              </w:rPr>
            </w:pPr>
            <w:r>
              <w:rPr>
                <w:rFonts w:ascii="Arial" w:cs="Arial" w:eastAsia="Arial" w:hAnsi="Arial"/>
                <w:sz w:val="12"/>
                <w:szCs w:val="12"/>
                <w:color w:val="auto"/>
              </w:rPr>
              <w:t>171</w:t>
            </w:r>
          </w:p>
        </w:tc>
        <w:tc>
          <w:tcPr>
            <w:tcW w:w="1060" w:type="dxa"/>
            <w:vAlign w:val="bottom"/>
            <w:tcBorders>
              <w:bottom w:val="single" w:sz="8" w:color="FDF5E7"/>
            </w:tcBorders>
            <w:shd w:val="clear" w:color="auto" w:fill="FDF5E7"/>
          </w:tcPr>
          <w:p>
            <w:pPr>
              <w:spacing w:after="0"/>
              <w:rPr>
                <w:sz w:val="15"/>
                <w:szCs w:val="15"/>
                <w:color w:val="auto"/>
              </w:rPr>
            </w:pPr>
          </w:p>
        </w:tc>
        <w:tc>
          <w:tcPr>
            <w:tcW w:w="1100" w:type="dxa"/>
            <w:vAlign w:val="bottom"/>
            <w:tcBorders>
              <w:bottom w:val="single" w:sz="8" w:color="FDF5E7"/>
            </w:tcBorders>
            <w:shd w:val="clear" w:color="auto" w:fill="FDF5E7"/>
          </w:tcPr>
          <w:p>
            <w:pPr>
              <w:spacing w:after="0"/>
              <w:rPr>
                <w:sz w:val="15"/>
                <w:szCs w:val="15"/>
                <w:color w:val="auto"/>
              </w:rPr>
            </w:pPr>
          </w:p>
        </w:tc>
        <w:tc>
          <w:tcPr>
            <w:tcW w:w="820" w:type="dxa"/>
            <w:vAlign w:val="bottom"/>
            <w:tcBorders>
              <w:bottom w:val="single" w:sz="8" w:color="FDF5E7"/>
            </w:tcBorders>
            <w:shd w:val="clear" w:color="auto" w:fill="FDF5E7"/>
          </w:tcPr>
          <w:p>
            <w:pPr>
              <w:spacing w:after="0"/>
              <w:rPr>
                <w:sz w:val="15"/>
                <w:szCs w:val="15"/>
                <w:color w:val="auto"/>
              </w:rPr>
            </w:pP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171</w:t>
            </w:r>
          </w:p>
        </w:tc>
        <w:tc>
          <w:tcPr>
            <w:tcW w:w="0" w:type="dxa"/>
            <w:vAlign w:val="bottom"/>
          </w:tcPr>
          <w:p>
            <w:pPr>
              <w:spacing w:after="0"/>
              <w:rPr>
                <w:sz w:val="1"/>
                <w:szCs w:val="1"/>
                <w:color w:val="auto"/>
              </w:rPr>
            </w:pPr>
          </w:p>
        </w:tc>
      </w:tr>
      <w:tr>
        <w:trPr>
          <w:trHeight w:val="173"/>
        </w:trPr>
        <w:tc>
          <w:tcPr>
            <w:tcW w:w="3940" w:type="dxa"/>
            <w:vAlign w:val="bottom"/>
            <w:gridSpan w:val="2"/>
          </w:tcPr>
          <w:p>
            <w:pPr>
              <w:ind w:left="20"/>
              <w:spacing w:after="0"/>
              <w:rPr>
                <w:sz w:val="20"/>
                <w:szCs w:val="20"/>
                <w:color w:val="auto"/>
              </w:rPr>
            </w:pPr>
            <w:r>
              <w:rPr>
                <w:rFonts w:ascii="Arial" w:cs="Arial" w:eastAsia="Arial" w:hAnsi="Arial"/>
                <w:sz w:val="12"/>
                <w:szCs w:val="12"/>
                <w:color w:val="3C3C3B"/>
              </w:rPr>
              <w:t>Other movements</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jc w:val="right"/>
              <w:ind w:right="98"/>
              <w:spacing w:after="0"/>
              <w:rPr>
                <w:sz w:val="20"/>
                <w:szCs w:val="20"/>
                <w:color w:val="auto"/>
              </w:rPr>
            </w:pPr>
            <w:r>
              <w:rPr>
                <w:rFonts w:ascii="Arial" w:cs="Arial" w:eastAsia="Arial" w:hAnsi="Arial"/>
                <w:sz w:val="12"/>
                <w:szCs w:val="12"/>
                <w:color w:val="auto"/>
              </w:rPr>
              <w:t>16</w:t>
            </w: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26"/>
        </w:trPr>
        <w:tc>
          <w:tcPr>
            <w:tcW w:w="3940" w:type="dxa"/>
            <w:vAlign w:val="bottom"/>
            <w:tcBorders>
              <w:bottom w:val="single" w:sz="8" w:color="242424"/>
            </w:tcBorders>
            <w:gridSpan w:val="2"/>
          </w:tcPr>
          <w:p>
            <w:pPr>
              <w:spacing w:after="0"/>
              <w:rPr>
                <w:sz w:val="2"/>
                <w:szCs w:val="2"/>
                <w:color w:val="auto"/>
              </w:rPr>
            </w:pPr>
          </w:p>
        </w:tc>
        <w:tc>
          <w:tcPr>
            <w:tcW w:w="940" w:type="dxa"/>
            <w:vAlign w:val="bottom"/>
            <w:tcBorders>
              <w:bottom w:val="single" w:sz="8" w:color="242424"/>
            </w:tcBorders>
          </w:tcPr>
          <w:p>
            <w:pPr>
              <w:spacing w:after="0"/>
              <w:rPr>
                <w:sz w:val="2"/>
                <w:szCs w:val="2"/>
                <w:color w:val="auto"/>
              </w:rPr>
            </w:pPr>
          </w:p>
        </w:tc>
        <w:tc>
          <w:tcPr>
            <w:tcW w:w="620" w:type="dxa"/>
            <w:vAlign w:val="bottom"/>
            <w:tcBorders>
              <w:bottom w:val="single" w:sz="8" w:color="242424"/>
            </w:tcBorders>
          </w:tcPr>
          <w:p>
            <w:pPr>
              <w:spacing w:after="0"/>
              <w:rPr>
                <w:sz w:val="2"/>
                <w:szCs w:val="2"/>
                <w:color w:val="auto"/>
              </w:rPr>
            </w:pPr>
          </w:p>
        </w:tc>
        <w:tc>
          <w:tcPr>
            <w:tcW w:w="1200" w:type="dxa"/>
            <w:vAlign w:val="bottom"/>
            <w:tcBorders>
              <w:bottom w:val="single" w:sz="8" w:color="242424"/>
            </w:tcBorders>
          </w:tcPr>
          <w:p>
            <w:pPr>
              <w:spacing w:after="0"/>
              <w:rPr>
                <w:sz w:val="2"/>
                <w:szCs w:val="2"/>
                <w:color w:val="auto"/>
              </w:rPr>
            </w:pPr>
          </w:p>
        </w:tc>
        <w:tc>
          <w:tcPr>
            <w:tcW w:w="600" w:type="dxa"/>
            <w:vAlign w:val="bottom"/>
            <w:tcBorders>
              <w:bottom w:val="single" w:sz="8" w:color="242424"/>
            </w:tcBorders>
          </w:tcPr>
          <w:p>
            <w:pPr>
              <w:spacing w:after="0"/>
              <w:rPr>
                <w:sz w:val="2"/>
                <w:szCs w:val="2"/>
                <w:color w:val="auto"/>
              </w:rPr>
            </w:pPr>
          </w:p>
        </w:tc>
        <w:tc>
          <w:tcPr>
            <w:tcW w:w="1060" w:type="dxa"/>
            <w:vAlign w:val="bottom"/>
            <w:tcBorders>
              <w:bottom w:val="single" w:sz="8" w:color="242424"/>
            </w:tcBorders>
          </w:tcPr>
          <w:p>
            <w:pPr>
              <w:spacing w:after="0"/>
              <w:rPr>
                <w:sz w:val="2"/>
                <w:szCs w:val="2"/>
                <w:color w:val="auto"/>
              </w:rPr>
            </w:pPr>
          </w:p>
        </w:tc>
        <w:tc>
          <w:tcPr>
            <w:tcW w:w="1100" w:type="dxa"/>
            <w:vAlign w:val="bottom"/>
            <w:tcBorders>
              <w:bottom w:val="single" w:sz="8" w:color="242424"/>
            </w:tcBorders>
          </w:tcPr>
          <w:p>
            <w:pPr>
              <w:spacing w:after="0"/>
              <w:rPr>
                <w:sz w:val="2"/>
                <w:szCs w:val="2"/>
                <w:color w:val="auto"/>
              </w:rPr>
            </w:pPr>
          </w:p>
        </w:tc>
        <w:tc>
          <w:tcPr>
            <w:tcW w:w="820" w:type="dxa"/>
            <w:vAlign w:val="bottom"/>
            <w:tcBorders>
              <w:bottom w:val="single" w:sz="8" w:color="242424"/>
            </w:tcBorders>
          </w:tcPr>
          <w:p>
            <w:pPr>
              <w:spacing w:after="0"/>
              <w:rPr>
                <w:sz w:val="2"/>
                <w:szCs w:val="2"/>
                <w:color w:val="auto"/>
              </w:rPr>
            </w:pPr>
          </w:p>
        </w:tc>
        <w:tc>
          <w:tcPr>
            <w:tcW w:w="940" w:type="dxa"/>
            <w:vAlign w:val="bottom"/>
            <w:tcBorders>
              <w:bottom w:val="single" w:sz="8" w:color="242424"/>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ind w:left="20"/>
              <w:spacing w:after="0"/>
              <w:rPr>
                <w:sz w:val="20"/>
                <w:szCs w:val="20"/>
                <w:color w:val="auto"/>
              </w:rPr>
            </w:pPr>
            <w:r>
              <w:rPr>
                <w:rFonts w:ascii="Arial" w:cs="Arial" w:eastAsia="Arial" w:hAnsi="Arial"/>
                <w:sz w:val="12"/>
                <w:szCs w:val="12"/>
                <w:b w:val="1"/>
                <w:bCs w:val="1"/>
                <w:color w:val="3C3C3B"/>
              </w:rPr>
              <w:t>As of June 30, 2024</w:t>
            </w:r>
          </w:p>
        </w:tc>
        <w:tc>
          <w:tcPr>
            <w:tcW w:w="940" w:type="dxa"/>
            <w:vAlign w:val="bottom"/>
          </w:tcPr>
          <w:p>
            <w:pPr>
              <w:jc w:val="right"/>
              <w:ind w:right="138"/>
              <w:spacing w:after="0"/>
              <w:rPr>
                <w:sz w:val="20"/>
                <w:szCs w:val="20"/>
                <w:color w:val="auto"/>
              </w:rPr>
            </w:pPr>
            <w:r>
              <w:rPr>
                <w:rFonts w:ascii="Arial" w:cs="Arial" w:eastAsia="Arial" w:hAnsi="Arial"/>
                <w:sz w:val="12"/>
                <w:szCs w:val="12"/>
                <w:b w:val="1"/>
                <w:bCs w:val="1"/>
                <w:color w:val="auto"/>
              </w:rPr>
              <w:t>49,906,483</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12,477</w:t>
            </w:r>
          </w:p>
        </w:tc>
        <w:tc>
          <w:tcPr>
            <w:tcW w:w="1200" w:type="dxa"/>
            <w:vAlign w:val="bottom"/>
          </w:tcPr>
          <w:p>
            <w:pPr>
              <w:jc w:val="right"/>
              <w:ind w:right="298"/>
              <w:spacing w:after="0"/>
              <w:rPr>
                <w:sz w:val="20"/>
                <w:szCs w:val="20"/>
                <w:color w:val="auto"/>
              </w:rPr>
            </w:pPr>
            <w:r>
              <w:rPr>
                <w:rFonts w:ascii="Arial" w:cs="Arial" w:eastAsia="Arial" w:hAnsi="Arial"/>
                <w:sz w:val="12"/>
                <w:szCs w:val="12"/>
                <w:b w:val="1"/>
                <w:bCs w:val="1"/>
                <w:color w:val="auto"/>
              </w:rPr>
              <w:t>446,490</w:t>
            </w:r>
          </w:p>
        </w:tc>
        <w:tc>
          <w:tcPr>
            <w:tcW w:w="600" w:type="dxa"/>
            <w:vAlign w:val="bottom"/>
          </w:tcPr>
          <w:p>
            <w:pPr>
              <w:jc w:val="right"/>
              <w:ind w:right="18"/>
              <w:spacing w:after="0"/>
              <w:rPr>
                <w:sz w:val="20"/>
                <w:szCs w:val="20"/>
                <w:color w:val="auto"/>
              </w:rPr>
            </w:pPr>
            <w:r>
              <w:rPr>
                <w:rFonts w:ascii="Arial" w:cs="Arial" w:eastAsia="Arial" w:hAnsi="Arial"/>
                <w:sz w:val="12"/>
                <w:szCs w:val="12"/>
                <w:b w:val="1"/>
                <w:bCs w:val="1"/>
                <w:color w:val="auto"/>
              </w:rPr>
              <w:t>(799)</w:t>
            </w:r>
          </w:p>
        </w:tc>
        <w:tc>
          <w:tcPr>
            <w:tcW w:w="1060" w:type="dxa"/>
            <w:vAlign w:val="bottom"/>
          </w:tcPr>
          <w:p>
            <w:pPr>
              <w:jc w:val="right"/>
              <w:ind w:right="98"/>
              <w:spacing w:after="0"/>
              <w:rPr>
                <w:sz w:val="20"/>
                <w:szCs w:val="20"/>
                <w:color w:val="auto"/>
              </w:rPr>
            </w:pPr>
            <w:r>
              <w:rPr>
                <w:rFonts w:ascii="Arial" w:cs="Arial" w:eastAsia="Arial" w:hAnsi="Arial"/>
                <w:sz w:val="12"/>
                <w:szCs w:val="12"/>
                <w:b w:val="1"/>
                <w:bCs w:val="1"/>
                <w:color w:val="auto"/>
              </w:rPr>
              <w:t>(390,663)</w:t>
            </w:r>
          </w:p>
        </w:tc>
        <w:tc>
          <w:tcPr>
            <w:tcW w:w="1100" w:type="dxa"/>
            <w:vAlign w:val="bottom"/>
          </w:tcPr>
          <w:p>
            <w:pPr>
              <w:jc w:val="right"/>
              <w:ind w:right="198"/>
              <w:spacing w:after="0"/>
              <w:rPr>
                <w:sz w:val="20"/>
                <w:szCs w:val="20"/>
                <w:color w:val="auto"/>
              </w:rPr>
            </w:pPr>
            <w:r>
              <w:rPr>
                <w:rFonts w:ascii="Arial" w:cs="Arial" w:eastAsia="Arial" w:hAnsi="Arial"/>
                <w:sz w:val="12"/>
                <w:szCs w:val="12"/>
                <w:b w:val="1"/>
                <w:bCs w:val="1"/>
                <w:color w:val="auto"/>
              </w:rPr>
              <w:t>(452)</w:t>
            </w:r>
          </w:p>
        </w:tc>
        <w:tc>
          <w:tcPr>
            <w:tcW w:w="820" w:type="dxa"/>
            <w:vAlign w:val="bottom"/>
          </w:tcPr>
          <w:p>
            <w:pPr>
              <w:jc w:val="right"/>
              <w:ind w:right="18"/>
              <w:spacing w:after="0"/>
              <w:rPr>
                <w:sz w:val="20"/>
                <w:szCs w:val="20"/>
                <w:color w:val="auto"/>
              </w:rPr>
            </w:pPr>
            <w:r>
              <w:rPr>
                <w:rFonts w:ascii="Arial" w:cs="Arial" w:eastAsia="Arial" w:hAnsi="Arial"/>
                <w:sz w:val="12"/>
                <w:szCs w:val="12"/>
                <w:b w:val="1"/>
                <w:bCs w:val="1"/>
                <w:color w:val="auto"/>
              </w:rPr>
              <w:t>30,311</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97,363</w:t>
            </w:r>
          </w:p>
        </w:tc>
        <w:tc>
          <w:tcPr>
            <w:tcW w:w="0" w:type="dxa"/>
            <w:vAlign w:val="bottom"/>
          </w:tcPr>
          <w:p>
            <w:pPr>
              <w:spacing w:after="0"/>
              <w:rPr>
                <w:sz w:val="1"/>
                <w:szCs w:val="1"/>
                <w:color w:val="auto"/>
              </w:rPr>
            </w:pPr>
          </w:p>
        </w:tc>
      </w:tr>
      <w:tr>
        <w:trPr>
          <w:trHeight w:val="20"/>
        </w:trPr>
        <w:tc>
          <w:tcPr>
            <w:tcW w:w="3940" w:type="dxa"/>
            <w:vAlign w:val="bottom"/>
            <w:tcBorders>
              <w:bottom w:val="single" w:sz="8" w:color="242424"/>
            </w:tcBorders>
            <w:gridSpan w:val="2"/>
          </w:tcPr>
          <w:p>
            <w:pPr>
              <w:spacing w:after="0" w:line="20" w:lineRule="exact"/>
              <w:rPr>
                <w:sz w:val="1"/>
                <w:szCs w:val="1"/>
                <w:color w:val="auto"/>
              </w:rPr>
            </w:pPr>
          </w:p>
        </w:tc>
        <w:tc>
          <w:tcPr>
            <w:tcW w:w="940" w:type="dxa"/>
            <w:vAlign w:val="bottom"/>
            <w:tcBorders>
              <w:bottom w:val="single" w:sz="8" w:color="242424"/>
            </w:tcBorders>
          </w:tcPr>
          <w:p>
            <w:pPr>
              <w:spacing w:after="0" w:line="20" w:lineRule="exact"/>
              <w:rPr>
                <w:sz w:val="1"/>
                <w:szCs w:val="1"/>
                <w:color w:val="auto"/>
              </w:rPr>
            </w:pPr>
          </w:p>
        </w:tc>
        <w:tc>
          <w:tcPr>
            <w:tcW w:w="620" w:type="dxa"/>
            <w:vAlign w:val="bottom"/>
            <w:tcBorders>
              <w:bottom w:val="single" w:sz="8" w:color="242424"/>
            </w:tcBorders>
          </w:tcPr>
          <w:p>
            <w:pPr>
              <w:spacing w:after="0" w:line="20" w:lineRule="exact"/>
              <w:rPr>
                <w:sz w:val="1"/>
                <w:szCs w:val="1"/>
                <w:color w:val="auto"/>
              </w:rPr>
            </w:pPr>
          </w:p>
        </w:tc>
        <w:tc>
          <w:tcPr>
            <w:tcW w:w="1200" w:type="dxa"/>
            <w:vAlign w:val="bottom"/>
            <w:tcBorders>
              <w:bottom w:val="single" w:sz="8" w:color="242424"/>
            </w:tcBorders>
          </w:tcPr>
          <w:p>
            <w:pPr>
              <w:spacing w:after="0" w:line="20" w:lineRule="exact"/>
              <w:rPr>
                <w:sz w:val="1"/>
                <w:szCs w:val="1"/>
                <w:color w:val="auto"/>
              </w:rPr>
            </w:pPr>
          </w:p>
        </w:tc>
        <w:tc>
          <w:tcPr>
            <w:tcW w:w="600" w:type="dxa"/>
            <w:vAlign w:val="bottom"/>
            <w:tcBorders>
              <w:bottom w:val="single" w:sz="8" w:color="242424"/>
            </w:tcBorders>
          </w:tcPr>
          <w:p>
            <w:pPr>
              <w:spacing w:after="0" w:line="20" w:lineRule="exact"/>
              <w:rPr>
                <w:sz w:val="1"/>
                <w:szCs w:val="1"/>
                <w:color w:val="auto"/>
              </w:rPr>
            </w:pPr>
          </w:p>
        </w:tc>
        <w:tc>
          <w:tcPr>
            <w:tcW w:w="1060" w:type="dxa"/>
            <w:vAlign w:val="bottom"/>
            <w:tcBorders>
              <w:bottom w:val="single" w:sz="8" w:color="242424"/>
            </w:tcBorders>
          </w:tcPr>
          <w:p>
            <w:pPr>
              <w:spacing w:after="0" w:line="20" w:lineRule="exact"/>
              <w:rPr>
                <w:sz w:val="1"/>
                <w:szCs w:val="1"/>
                <w:color w:val="auto"/>
              </w:rPr>
            </w:pPr>
          </w:p>
        </w:tc>
        <w:tc>
          <w:tcPr>
            <w:tcW w:w="1100" w:type="dxa"/>
            <w:vAlign w:val="bottom"/>
            <w:tcBorders>
              <w:bottom w:val="single" w:sz="8" w:color="242424"/>
            </w:tcBorders>
          </w:tcPr>
          <w:p>
            <w:pPr>
              <w:spacing w:after="0" w:line="20" w:lineRule="exact"/>
              <w:rPr>
                <w:sz w:val="1"/>
                <w:szCs w:val="1"/>
                <w:color w:val="auto"/>
              </w:rPr>
            </w:pPr>
          </w:p>
        </w:tc>
        <w:tc>
          <w:tcPr>
            <w:tcW w:w="820" w:type="dxa"/>
            <w:vAlign w:val="bottom"/>
            <w:tcBorders>
              <w:bottom w:val="single" w:sz="8" w:color="242424"/>
            </w:tcBorders>
          </w:tcPr>
          <w:p>
            <w:pPr>
              <w:spacing w:after="0" w:line="20" w:lineRule="exact"/>
              <w:rPr>
                <w:sz w:val="1"/>
                <w:szCs w:val="1"/>
                <w:color w:val="auto"/>
              </w:rPr>
            </w:pPr>
          </w:p>
        </w:tc>
        <w:tc>
          <w:tcPr>
            <w:tcW w:w="940" w:type="dxa"/>
            <w:vAlign w:val="bottom"/>
            <w:tcBorders>
              <w:bottom w:val="single" w:sz="8" w:color="24242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394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2"/>
                <w:szCs w:val="12"/>
                <w:color w:val="3C3C3B"/>
              </w:rPr>
              <w:t>Net profit (loss)</w:t>
            </w:r>
          </w:p>
        </w:tc>
        <w:tc>
          <w:tcPr>
            <w:tcW w:w="940" w:type="dxa"/>
            <w:vAlign w:val="bottom"/>
            <w:tcBorders>
              <w:bottom w:val="single" w:sz="8" w:color="FDF5E7"/>
            </w:tcBorders>
            <w:shd w:val="clear" w:color="auto" w:fill="FDF5E7"/>
          </w:tcPr>
          <w:p>
            <w:pPr>
              <w:spacing w:after="0"/>
              <w:rPr>
                <w:sz w:val="14"/>
                <w:szCs w:val="14"/>
                <w:color w:val="auto"/>
              </w:rPr>
            </w:pPr>
          </w:p>
        </w:tc>
        <w:tc>
          <w:tcPr>
            <w:tcW w:w="620" w:type="dxa"/>
            <w:vAlign w:val="bottom"/>
            <w:tcBorders>
              <w:bottom w:val="single" w:sz="8" w:color="FDF5E7"/>
            </w:tcBorders>
            <w:shd w:val="clear" w:color="auto" w:fill="FDF5E7"/>
          </w:tcPr>
          <w:p>
            <w:pPr>
              <w:spacing w:after="0"/>
              <w:rPr>
                <w:sz w:val="14"/>
                <w:szCs w:val="14"/>
                <w:color w:val="auto"/>
              </w:rPr>
            </w:pPr>
          </w:p>
        </w:tc>
        <w:tc>
          <w:tcPr>
            <w:tcW w:w="1200" w:type="dxa"/>
            <w:vAlign w:val="bottom"/>
            <w:tcBorders>
              <w:bottom w:val="single" w:sz="8" w:color="FDF5E7"/>
            </w:tcBorders>
            <w:shd w:val="clear" w:color="auto" w:fill="FDF5E7"/>
          </w:tcPr>
          <w:p>
            <w:pPr>
              <w:spacing w:after="0"/>
              <w:rPr>
                <w:sz w:val="14"/>
                <w:szCs w:val="14"/>
                <w:color w:val="auto"/>
              </w:rPr>
            </w:pPr>
          </w:p>
        </w:tc>
        <w:tc>
          <w:tcPr>
            <w:tcW w:w="600" w:type="dxa"/>
            <w:vAlign w:val="bottom"/>
            <w:tcBorders>
              <w:bottom w:val="single" w:sz="8" w:color="FDF5E7"/>
            </w:tcBorders>
            <w:shd w:val="clear" w:color="auto" w:fill="FDF5E7"/>
          </w:tcPr>
          <w:p>
            <w:pPr>
              <w:spacing w:after="0"/>
              <w:rPr>
                <w:sz w:val="14"/>
                <w:szCs w:val="14"/>
                <w:color w:val="auto"/>
              </w:rPr>
            </w:pPr>
          </w:p>
        </w:tc>
        <w:tc>
          <w:tcPr>
            <w:tcW w:w="1060" w:type="dxa"/>
            <w:vAlign w:val="bottom"/>
            <w:tcBorders>
              <w:bottom w:val="single" w:sz="8" w:color="FDF5E7"/>
            </w:tcBorders>
            <w:shd w:val="clear" w:color="auto" w:fill="FDF5E7"/>
          </w:tcPr>
          <w:p>
            <w:pPr>
              <w:spacing w:after="0"/>
              <w:rPr>
                <w:sz w:val="14"/>
                <w:szCs w:val="14"/>
                <w:color w:val="auto"/>
              </w:rPr>
            </w:pPr>
          </w:p>
        </w:tc>
        <w:tc>
          <w:tcPr>
            <w:tcW w:w="1100" w:type="dxa"/>
            <w:vAlign w:val="bottom"/>
            <w:tcBorders>
              <w:bottom w:val="single" w:sz="8" w:color="FDF5E7"/>
            </w:tcBorders>
            <w:shd w:val="clear" w:color="auto" w:fill="FDF5E7"/>
          </w:tcPr>
          <w:p>
            <w:pPr>
              <w:spacing w:after="0"/>
              <w:rPr>
                <w:sz w:val="14"/>
                <w:szCs w:val="14"/>
                <w:color w:val="auto"/>
              </w:rPr>
            </w:pPr>
          </w:p>
        </w:tc>
        <w:tc>
          <w:tcPr>
            <w:tcW w:w="820" w:type="dxa"/>
            <w:vAlign w:val="bottom"/>
            <w:tcBorders>
              <w:bottom w:val="single" w:sz="8" w:color="FDF5E7"/>
            </w:tcBorders>
            <w:shd w:val="clear" w:color="auto" w:fill="FDF5E7"/>
          </w:tcPr>
          <w:p>
            <w:pPr>
              <w:jc w:val="right"/>
              <w:ind w:right="18"/>
              <w:spacing w:after="0"/>
              <w:rPr>
                <w:sz w:val="20"/>
                <w:szCs w:val="20"/>
                <w:color w:val="auto"/>
              </w:rPr>
            </w:pPr>
            <w:r>
              <w:rPr>
                <w:rFonts w:ascii="Arial" w:cs="Arial" w:eastAsia="Arial" w:hAnsi="Arial"/>
                <w:sz w:val="12"/>
                <w:szCs w:val="12"/>
                <w:color w:val="auto"/>
              </w:rPr>
              <w:t>(28,804)</w:t>
            </w: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(28,804)</w:t>
            </w:r>
          </w:p>
        </w:tc>
        <w:tc>
          <w:tcPr>
            <w:tcW w:w="0" w:type="dxa"/>
            <w:vAlign w:val="bottom"/>
          </w:tcPr>
          <w:p>
            <w:pPr>
              <w:spacing w:after="0"/>
              <w:rPr>
                <w:sz w:val="1"/>
                <w:szCs w:val="1"/>
                <w:color w:val="auto"/>
              </w:rPr>
            </w:pPr>
          </w:p>
        </w:tc>
      </w:tr>
      <w:tr>
        <w:trPr>
          <w:trHeight w:val="173"/>
        </w:trPr>
        <w:tc>
          <w:tcPr>
            <w:tcW w:w="3940" w:type="dxa"/>
            <w:vAlign w:val="bottom"/>
            <w:gridSpan w:val="2"/>
          </w:tcPr>
          <w:p>
            <w:pPr>
              <w:ind w:left="20"/>
              <w:spacing w:after="0"/>
              <w:rPr>
                <w:sz w:val="20"/>
                <w:szCs w:val="20"/>
                <w:color w:val="auto"/>
              </w:rPr>
            </w:pPr>
            <w:r>
              <w:rPr>
                <w:rFonts w:ascii="Arial" w:cs="Arial" w:eastAsia="Arial" w:hAnsi="Arial"/>
                <w:sz w:val="12"/>
                <w:szCs w:val="12"/>
                <w:color w:val="3C3C3B"/>
              </w:rPr>
              <w:t>Other comprehensive income (loss)</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jc w:val="right"/>
              <w:ind w:right="98"/>
              <w:spacing w:after="0"/>
              <w:rPr>
                <w:sz w:val="20"/>
                <w:szCs w:val="20"/>
                <w:color w:val="auto"/>
              </w:rPr>
            </w:pPr>
            <w:r>
              <w:rPr>
                <w:rFonts w:ascii="Arial" w:cs="Arial" w:eastAsia="Arial" w:hAnsi="Arial"/>
                <w:sz w:val="12"/>
                <w:szCs w:val="12"/>
                <w:color w:val="auto"/>
              </w:rPr>
              <w:t>(253)</w:t>
            </w:r>
          </w:p>
        </w:tc>
        <w:tc>
          <w:tcPr>
            <w:tcW w:w="1100" w:type="dxa"/>
            <w:vAlign w:val="bottom"/>
          </w:tcPr>
          <w:p>
            <w:pPr>
              <w:jc w:val="right"/>
              <w:ind w:right="198"/>
              <w:spacing w:after="0"/>
              <w:rPr>
                <w:sz w:val="20"/>
                <w:szCs w:val="20"/>
                <w:color w:val="auto"/>
              </w:rPr>
            </w:pPr>
            <w:r>
              <w:rPr>
                <w:rFonts w:ascii="Arial" w:cs="Arial" w:eastAsia="Arial" w:hAnsi="Arial"/>
                <w:sz w:val="12"/>
                <w:szCs w:val="12"/>
                <w:color w:val="auto"/>
              </w:rPr>
              <w:t>799</w:t>
            </w:r>
          </w:p>
        </w:tc>
        <w:tc>
          <w:tcPr>
            <w:tcW w:w="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546</w:t>
            </w:r>
          </w:p>
        </w:tc>
        <w:tc>
          <w:tcPr>
            <w:tcW w:w="0" w:type="dxa"/>
            <w:vAlign w:val="bottom"/>
          </w:tcPr>
          <w:p>
            <w:pPr>
              <w:spacing w:after="0"/>
              <w:rPr>
                <w:sz w:val="1"/>
                <w:szCs w:val="1"/>
                <w:color w:val="auto"/>
              </w:rPr>
            </w:pPr>
          </w:p>
        </w:tc>
      </w:tr>
      <w:tr>
        <w:trPr>
          <w:trHeight w:val="26"/>
        </w:trPr>
        <w:tc>
          <w:tcPr>
            <w:tcW w:w="3940" w:type="dxa"/>
            <w:vAlign w:val="bottom"/>
            <w:tcBorders>
              <w:bottom w:val="single" w:sz="8" w:color="E99D25"/>
            </w:tcBorders>
            <w:gridSpan w:val="2"/>
          </w:tcPr>
          <w:p>
            <w:pPr>
              <w:spacing w:after="0"/>
              <w:rPr>
                <w:sz w:val="2"/>
                <w:szCs w:val="2"/>
                <w:color w:val="auto"/>
              </w:rPr>
            </w:pPr>
          </w:p>
        </w:tc>
        <w:tc>
          <w:tcPr>
            <w:tcW w:w="940" w:type="dxa"/>
            <w:vAlign w:val="bottom"/>
            <w:tcBorders>
              <w:bottom w:val="single" w:sz="8" w:color="E99D25"/>
            </w:tcBorders>
          </w:tcPr>
          <w:p>
            <w:pPr>
              <w:spacing w:after="0"/>
              <w:rPr>
                <w:sz w:val="2"/>
                <w:szCs w:val="2"/>
                <w:color w:val="auto"/>
              </w:rPr>
            </w:pPr>
          </w:p>
        </w:tc>
        <w:tc>
          <w:tcPr>
            <w:tcW w:w="620" w:type="dxa"/>
            <w:vAlign w:val="bottom"/>
            <w:tcBorders>
              <w:bottom w:val="single" w:sz="8" w:color="E99D25"/>
            </w:tcBorders>
          </w:tcPr>
          <w:p>
            <w:pPr>
              <w:spacing w:after="0"/>
              <w:rPr>
                <w:sz w:val="2"/>
                <w:szCs w:val="2"/>
                <w:color w:val="auto"/>
              </w:rPr>
            </w:pPr>
          </w:p>
        </w:tc>
        <w:tc>
          <w:tcPr>
            <w:tcW w:w="1200" w:type="dxa"/>
            <w:vAlign w:val="bottom"/>
            <w:tcBorders>
              <w:bottom w:val="single" w:sz="8" w:color="E99D25"/>
            </w:tcBorders>
          </w:tcPr>
          <w:p>
            <w:pPr>
              <w:spacing w:after="0"/>
              <w:rPr>
                <w:sz w:val="2"/>
                <w:szCs w:val="2"/>
                <w:color w:val="auto"/>
              </w:rPr>
            </w:pPr>
          </w:p>
        </w:tc>
        <w:tc>
          <w:tcPr>
            <w:tcW w:w="600" w:type="dxa"/>
            <w:vAlign w:val="bottom"/>
            <w:tcBorders>
              <w:bottom w:val="single" w:sz="8" w:color="E99D25"/>
            </w:tcBorders>
          </w:tcPr>
          <w:p>
            <w:pPr>
              <w:spacing w:after="0"/>
              <w:rPr>
                <w:sz w:val="2"/>
                <w:szCs w:val="2"/>
                <w:color w:val="auto"/>
              </w:rPr>
            </w:pPr>
          </w:p>
        </w:tc>
        <w:tc>
          <w:tcPr>
            <w:tcW w:w="1060" w:type="dxa"/>
            <w:vAlign w:val="bottom"/>
            <w:tcBorders>
              <w:bottom w:val="single" w:sz="8" w:color="E99D25"/>
            </w:tcBorders>
          </w:tcPr>
          <w:p>
            <w:pPr>
              <w:spacing w:after="0"/>
              <w:rPr>
                <w:sz w:val="2"/>
                <w:szCs w:val="2"/>
                <w:color w:val="auto"/>
              </w:rPr>
            </w:pPr>
          </w:p>
        </w:tc>
        <w:tc>
          <w:tcPr>
            <w:tcW w:w="1100" w:type="dxa"/>
            <w:vAlign w:val="bottom"/>
            <w:tcBorders>
              <w:bottom w:val="single" w:sz="8" w:color="E99D25"/>
            </w:tcBorders>
          </w:tcPr>
          <w:p>
            <w:pPr>
              <w:spacing w:after="0"/>
              <w:rPr>
                <w:sz w:val="2"/>
                <w:szCs w:val="2"/>
                <w:color w:val="auto"/>
              </w:rPr>
            </w:pPr>
          </w:p>
        </w:tc>
        <w:tc>
          <w:tcPr>
            <w:tcW w:w="820" w:type="dxa"/>
            <w:vAlign w:val="bottom"/>
            <w:tcBorders>
              <w:bottom w:val="single" w:sz="8" w:color="E99D25"/>
            </w:tcBorders>
          </w:tcPr>
          <w:p>
            <w:pPr>
              <w:spacing w:after="0"/>
              <w:rPr>
                <w:sz w:val="2"/>
                <w:szCs w:val="2"/>
                <w:color w:val="auto"/>
              </w:rPr>
            </w:pPr>
          </w:p>
        </w:tc>
        <w:tc>
          <w:tcPr>
            <w:tcW w:w="940" w:type="dxa"/>
            <w:vAlign w:val="bottom"/>
            <w:tcBorders>
              <w:bottom w:val="single" w:sz="8" w:color="E99D25"/>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ind w:left="20"/>
              <w:spacing w:after="0"/>
              <w:rPr>
                <w:sz w:val="20"/>
                <w:szCs w:val="20"/>
                <w:color w:val="auto"/>
              </w:rPr>
            </w:pPr>
            <w:r>
              <w:rPr>
                <w:rFonts w:ascii="Arial" w:cs="Arial" w:eastAsia="Arial" w:hAnsi="Arial"/>
                <w:sz w:val="12"/>
                <w:szCs w:val="12"/>
                <w:b w:val="1"/>
                <w:bCs w:val="1"/>
                <w:color w:val="3C3C3B"/>
              </w:rPr>
              <w:t>Total comprehensive income (loss)</w:t>
            </w:r>
          </w:p>
        </w:tc>
        <w:tc>
          <w:tcPr>
            <w:tcW w:w="940" w:type="dxa"/>
            <w:vAlign w:val="bottom"/>
          </w:tcPr>
          <w:p>
            <w:pPr>
              <w:jc w:val="right"/>
              <w:ind w:right="138"/>
              <w:spacing w:after="0"/>
              <w:rPr>
                <w:sz w:val="20"/>
                <w:szCs w:val="20"/>
                <w:color w:val="auto"/>
              </w:rPr>
            </w:pPr>
            <w:r>
              <w:rPr>
                <w:rFonts w:ascii="Arial" w:cs="Arial" w:eastAsia="Arial" w:hAnsi="Arial"/>
                <w:sz w:val="12"/>
                <w:szCs w:val="12"/>
                <w:b w:val="1"/>
                <w:bCs w:val="1"/>
                <w:color w:val="auto"/>
              </w:rPr>
              <w:t>—</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00" w:type="dxa"/>
            <w:vAlign w:val="bottom"/>
          </w:tcPr>
          <w:p>
            <w:pPr>
              <w:jc w:val="right"/>
              <w:ind w:right="298"/>
              <w:spacing w:after="0"/>
              <w:rPr>
                <w:sz w:val="20"/>
                <w:szCs w:val="20"/>
                <w:color w:val="auto"/>
              </w:rPr>
            </w:pPr>
            <w:r>
              <w:rPr>
                <w:rFonts w:ascii="Arial" w:cs="Arial" w:eastAsia="Arial" w:hAnsi="Arial"/>
                <w:sz w:val="12"/>
                <w:szCs w:val="12"/>
                <w:b w:val="1"/>
                <w:bCs w:val="1"/>
                <w:color w:val="auto"/>
              </w:rPr>
              <w:t>—</w:t>
            </w:r>
          </w:p>
        </w:tc>
        <w:tc>
          <w:tcPr>
            <w:tcW w:w="600" w:type="dxa"/>
            <w:vAlign w:val="bottom"/>
          </w:tcPr>
          <w:p>
            <w:pPr>
              <w:jc w:val="right"/>
              <w:ind w:right="18"/>
              <w:spacing w:after="0"/>
              <w:rPr>
                <w:sz w:val="20"/>
                <w:szCs w:val="20"/>
                <w:color w:val="auto"/>
              </w:rPr>
            </w:pPr>
            <w:r>
              <w:rPr>
                <w:rFonts w:ascii="Arial" w:cs="Arial" w:eastAsia="Arial" w:hAnsi="Arial"/>
                <w:sz w:val="12"/>
                <w:szCs w:val="12"/>
                <w:b w:val="1"/>
                <w:bCs w:val="1"/>
                <w:color w:val="auto"/>
              </w:rPr>
              <w:t>—</w:t>
            </w:r>
          </w:p>
        </w:tc>
        <w:tc>
          <w:tcPr>
            <w:tcW w:w="1060" w:type="dxa"/>
            <w:vAlign w:val="bottom"/>
          </w:tcPr>
          <w:p>
            <w:pPr>
              <w:jc w:val="right"/>
              <w:ind w:right="98"/>
              <w:spacing w:after="0"/>
              <w:rPr>
                <w:sz w:val="20"/>
                <w:szCs w:val="20"/>
                <w:color w:val="auto"/>
              </w:rPr>
            </w:pPr>
            <w:r>
              <w:rPr>
                <w:rFonts w:ascii="Arial" w:cs="Arial" w:eastAsia="Arial" w:hAnsi="Arial"/>
                <w:sz w:val="12"/>
                <w:szCs w:val="12"/>
                <w:b w:val="1"/>
                <w:bCs w:val="1"/>
                <w:color w:val="auto"/>
              </w:rPr>
              <w:t>(253)</w:t>
            </w:r>
          </w:p>
        </w:tc>
        <w:tc>
          <w:tcPr>
            <w:tcW w:w="1100" w:type="dxa"/>
            <w:vAlign w:val="bottom"/>
          </w:tcPr>
          <w:p>
            <w:pPr>
              <w:jc w:val="right"/>
              <w:ind w:right="198"/>
              <w:spacing w:after="0"/>
              <w:rPr>
                <w:sz w:val="20"/>
                <w:szCs w:val="20"/>
                <w:color w:val="auto"/>
              </w:rPr>
            </w:pPr>
            <w:r>
              <w:rPr>
                <w:rFonts w:ascii="Arial" w:cs="Arial" w:eastAsia="Arial" w:hAnsi="Arial"/>
                <w:sz w:val="12"/>
                <w:szCs w:val="12"/>
                <w:b w:val="1"/>
                <w:bCs w:val="1"/>
                <w:color w:val="auto"/>
              </w:rPr>
              <w:t>799</w:t>
            </w:r>
          </w:p>
        </w:tc>
        <w:tc>
          <w:tcPr>
            <w:tcW w:w="820" w:type="dxa"/>
            <w:vAlign w:val="bottom"/>
          </w:tcPr>
          <w:p>
            <w:pPr>
              <w:jc w:val="right"/>
              <w:ind w:right="18"/>
              <w:spacing w:after="0"/>
              <w:rPr>
                <w:sz w:val="20"/>
                <w:szCs w:val="20"/>
                <w:color w:val="auto"/>
              </w:rPr>
            </w:pPr>
            <w:r>
              <w:rPr>
                <w:rFonts w:ascii="Arial" w:cs="Arial" w:eastAsia="Arial" w:hAnsi="Arial"/>
                <w:sz w:val="12"/>
                <w:szCs w:val="12"/>
                <w:b w:val="1"/>
                <w:bCs w:val="1"/>
                <w:color w:val="auto"/>
              </w:rPr>
              <w:t>(28,804)</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(28,258)</w:t>
            </w:r>
          </w:p>
        </w:tc>
        <w:tc>
          <w:tcPr>
            <w:tcW w:w="0" w:type="dxa"/>
            <w:vAlign w:val="bottom"/>
          </w:tcPr>
          <w:p>
            <w:pPr>
              <w:spacing w:after="0"/>
              <w:rPr>
                <w:sz w:val="1"/>
                <w:szCs w:val="1"/>
                <w:color w:val="auto"/>
              </w:rPr>
            </w:pPr>
          </w:p>
        </w:tc>
      </w:tr>
      <w:tr>
        <w:trPr>
          <w:trHeight w:val="20"/>
        </w:trPr>
        <w:tc>
          <w:tcPr>
            <w:tcW w:w="3940" w:type="dxa"/>
            <w:vAlign w:val="bottom"/>
            <w:tcBorders>
              <w:bottom w:val="single" w:sz="8" w:color="E99D25"/>
            </w:tcBorders>
            <w:gridSpan w:val="2"/>
          </w:tcPr>
          <w:p>
            <w:pPr>
              <w:spacing w:after="0" w:line="20" w:lineRule="exact"/>
              <w:rPr>
                <w:sz w:val="1"/>
                <w:szCs w:val="1"/>
                <w:color w:val="auto"/>
              </w:rPr>
            </w:pPr>
          </w:p>
        </w:tc>
        <w:tc>
          <w:tcPr>
            <w:tcW w:w="940" w:type="dxa"/>
            <w:vAlign w:val="bottom"/>
            <w:tcBorders>
              <w:bottom w:val="single" w:sz="8" w:color="E99D25"/>
            </w:tcBorders>
          </w:tcPr>
          <w:p>
            <w:pPr>
              <w:spacing w:after="0" w:line="20" w:lineRule="exact"/>
              <w:rPr>
                <w:sz w:val="1"/>
                <w:szCs w:val="1"/>
                <w:color w:val="auto"/>
              </w:rPr>
            </w:pPr>
          </w:p>
        </w:tc>
        <w:tc>
          <w:tcPr>
            <w:tcW w:w="620" w:type="dxa"/>
            <w:vAlign w:val="bottom"/>
            <w:tcBorders>
              <w:bottom w:val="single" w:sz="8" w:color="E99D25"/>
            </w:tcBorders>
          </w:tcPr>
          <w:p>
            <w:pPr>
              <w:spacing w:after="0" w:line="20" w:lineRule="exact"/>
              <w:rPr>
                <w:sz w:val="1"/>
                <w:szCs w:val="1"/>
                <w:color w:val="auto"/>
              </w:rPr>
            </w:pPr>
          </w:p>
        </w:tc>
        <w:tc>
          <w:tcPr>
            <w:tcW w:w="1200" w:type="dxa"/>
            <w:vAlign w:val="bottom"/>
            <w:tcBorders>
              <w:bottom w:val="single" w:sz="8" w:color="E99D25"/>
            </w:tcBorders>
          </w:tcPr>
          <w:p>
            <w:pPr>
              <w:spacing w:after="0" w:line="20" w:lineRule="exact"/>
              <w:rPr>
                <w:sz w:val="1"/>
                <w:szCs w:val="1"/>
                <w:color w:val="auto"/>
              </w:rPr>
            </w:pPr>
          </w:p>
        </w:tc>
        <w:tc>
          <w:tcPr>
            <w:tcW w:w="600" w:type="dxa"/>
            <w:vAlign w:val="bottom"/>
            <w:tcBorders>
              <w:bottom w:val="single" w:sz="8" w:color="E99D25"/>
            </w:tcBorders>
          </w:tcPr>
          <w:p>
            <w:pPr>
              <w:spacing w:after="0" w:line="20" w:lineRule="exact"/>
              <w:rPr>
                <w:sz w:val="1"/>
                <w:szCs w:val="1"/>
                <w:color w:val="auto"/>
              </w:rPr>
            </w:pPr>
          </w:p>
        </w:tc>
        <w:tc>
          <w:tcPr>
            <w:tcW w:w="1060" w:type="dxa"/>
            <w:vAlign w:val="bottom"/>
            <w:tcBorders>
              <w:bottom w:val="single" w:sz="8" w:color="E99D25"/>
            </w:tcBorders>
          </w:tcPr>
          <w:p>
            <w:pPr>
              <w:spacing w:after="0" w:line="20" w:lineRule="exact"/>
              <w:rPr>
                <w:sz w:val="1"/>
                <w:szCs w:val="1"/>
                <w:color w:val="auto"/>
              </w:rPr>
            </w:pPr>
          </w:p>
        </w:tc>
        <w:tc>
          <w:tcPr>
            <w:tcW w:w="1100" w:type="dxa"/>
            <w:vAlign w:val="bottom"/>
            <w:tcBorders>
              <w:bottom w:val="single" w:sz="8" w:color="E99D25"/>
            </w:tcBorders>
          </w:tcPr>
          <w:p>
            <w:pPr>
              <w:spacing w:after="0" w:line="20" w:lineRule="exact"/>
              <w:rPr>
                <w:sz w:val="1"/>
                <w:szCs w:val="1"/>
                <w:color w:val="auto"/>
              </w:rPr>
            </w:pPr>
          </w:p>
        </w:tc>
        <w:tc>
          <w:tcPr>
            <w:tcW w:w="820" w:type="dxa"/>
            <w:vAlign w:val="bottom"/>
            <w:tcBorders>
              <w:bottom w:val="single" w:sz="8" w:color="E99D25"/>
            </w:tcBorders>
          </w:tcPr>
          <w:p>
            <w:pPr>
              <w:spacing w:after="0" w:line="20" w:lineRule="exact"/>
              <w:rPr>
                <w:sz w:val="1"/>
                <w:szCs w:val="1"/>
                <w:color w:val="auto"/>
              </w:rPr>
            </w:pPr>
          </w:p>
        </w:tc>
        <w:tc>
          <w:tcPr>
            <w:tcW w:w="940" w:type="dxa"/>
            <w:vAlign w:val="bottom"/>
            <w:tcBorders>
              <w:bottom w:val="single" w:sz="8" w:color="E99D2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394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2"/>
                <w:szCs w:val="12"/>
                <w:color w:val="3C3C3B"/>
              </w:rPr>
              <w:t>Allocation of prior period profit (loss)</w:t>
            </w:r>
          </w:p>
        </w:tc>
        <w:tc>
          <w:tcPr>
            <w:tcW w:w="940" w:type="dxa"/>
            <w:vAlign w:val="bottom"/>
            <w:tcBorders>
              <w:bottom w:val="single" w:sz="8" w:color="FDF5E7"/>
            </w:tcBorders>
            <w:shd w:val="clear" w:color="auto" w:fill="FDF5E7"/>
          </w:tcPr>
          <w:p>
            <w:pPr>
              <w:spacing w:after="0"/>
              <w:rPr>
                <w:sz w:val="14"/>
                <w:szCs w:val="14"/>
                <w:color w:val="auto"/>
              </w:rPr>
            </w:pPr>
          </w:p>
        </w:tc>
        <w:tc>
          <w:tcPr>
            <w:tcW w:w="620" w:type="dxa"/>
            <w:vAlign w:val="bottom"/>
            <w:tcBorders>
              <w:bottom w:val="single" w:sz="8" w:color="FDF5E7"/>
            </w:tcBorders>
            <w:shd w:val="clear" w:color="auto" w:fill="FDF5E7"/>
          </w:tcPr>
          <w:p>
            <w:pPr>
              <w:spacing w:after="0"/>
              <w:rPr>
                <w:sz w:val="14"/>
                <w:szCs w:val="14"/>
                <w:color w:val="auto"/>
              </w:rPr>
            </w:pPr>
          </w:p>
        </w:tc>
        <w:tc>
          <w:tcPr>
            <w:tcW w:w="1200" w:type="dxa"/>
            <w:vAlign w:val="bottom"/>
            <w:tcBorders>
              <w:bottom w:val="single" w:sz="8" w:color="FDF5E7"/>
            </w:tcBorders>
            <w:shd w:val="clear" w:color="auto" w:fill="FDF5E7"/>
          </w:tcPr>
          <w:p>
            <w:pPr>
              <w:spacing w:after="0"/>
              <w:rPr>
                <w:sz w:val="14"/>
                <w:szCs w:val="14"/>
                <w:color w:val="auto"/>
              </w:rPr>
            </w:pPr>
          </w:p>
        </w:tc>
        <w:tc>
          <w:tcPr>
            <w:tcW w:w="600" w:type="dxa"/>
            <w:vAlign w:val="bottom"/>
            <w:tcBorders>
              <w:bottom w:val="single" w:sz="8" w:color="FDF5E7"/>
            </w:tcBorders>
            <w:shd w:val="clear" w:color="auto" w:fill="FDF5E7"/>
          </w:tcPr>
          <w:p>
            <w:pPr>
              <w:spacing w:after="0"/>
              <w:rPr>
                <w:sz w:val="14"/>
                <w:szCs w:val="14"/>
                <w:color w:val="auto"/>
              </w:rPr>
            </w:pPr>
          </w:p>
        </w:tc>
        <w:tc>
          <w:tcPr>
            <w:tcW w:w="1060" w:type="dxa"/>
            <w:vAlign w:val="bottom"/>
            <w:tcBorders>
              <w:bottom w:val="single" w:sz="8" w:color="FDF5E7"/>
            </w:tcBorders>
            <w:shd w:val="clear" w:color="auto" w:fill="FDF5E7"/>
          </w:tcPr>
          <w:p>
            <w:pPr>
              <w:jc w:val="right"/>
              <w:ind w:right="98"/>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FDF5E7"/>
            </w:tcBorders>
            <w:shd w:val="clear" w:color="auto" w:fill="FDF5E7"/>
          </w:tcPr>
          <w:p>
            <w:pPr>
              <w:spacing w:after="0"/>
              <w:rPr>
                <w:sz w:val="14"/>
                <w:szCs w:val="14"/>
                <w:color w:val="auto"/>
              </w:rPr>
            </w:pPr>
          </w:p>
        </w:tc>
        <w:tc>
          <w:tcPr>
            <w:tcW w:w="820" w:type="dxa"/>
            <w:vAlign w:val="bottom"/>
            <w:tcBorders>
              <w:bottom w:val="single" w:sz="8" w:color="FDF5E7"/>
            </w:tcBorders>
            <w:shd w:val="clear" w:color="auto" w:fill="FDF5E7"/>
          </w:tcPr>
          <w:p>
            <w:pPr>
              <w:jc w:val="right"/>
              <w:ind w:right="1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3940" w:type="dxa"/>
            <w:vAlign w:val="bottom"/>
            <w:gridSpan w:val="2"/>
          </w:tcPr>
          <w:p>
            <w:pPr>
              <w:ind w:left="20"/>
              <w:spacing w:after="0"/>
              <w:rPr>
                <w:sz w:val="20"/>
                <w:szCs w:val="20"/>
                <w:color w:val="auto"/>
              </w:rPr>
            </w:pPr>
            <w:r>
              <w:rPr>
                <w:rFonts w:ascii="Arial" w:cs="Arial" w:eastAsia="Arial" w:hAnsi="Arial"/>
                <w:sz w:val="12"/>
                <w:szCs w:val="12"/>
                <w:color w:val="3C3C3B"/>
              </w:rPr>
              <w:t>Capital increase</w:t>
            </w:r>
          </w:p>
        </w:tc>
        <w:tc>
          <w:tcPr>
            <w:tcW w:w="940" w:type="dxa"/>
            <w:vAlign w:val="bottom"/>
          </w:tcPr>
          <w:p>
            <w:pPr>
              <w:jc w:val="right"/>
              <w:ind w:right="138"/>
              <w:spacing w:after="0"/>
              <w:rPr>
                <w:sz w:val="20"/>
                <w:szCs w:val="20"/>
                <w:color w:val="auto"/>
              </w:rPr>
            </w:pPr>
            <w:r>
              <w:rPr>
                <w:rFonts w:ascii="Arial" w:cs="Arial" w:eastAsia="Arial" w:hAnsi="Arial"/>
                <w:sz w:val="12"/>
                <w:szCs w:val="12"/>
                <w:color w:val="auto"/>
              </w:rPr>
              <w:t>89,702</w:t>
            </w:r>
          </w:p>
        </w:tc>
        <w:tc>
          <w:tcPr>
            <w:tcW w:w="620" w:type="dxa"/>
            <w:vAlign w:val="bottom"/>
          </w:tcPr>
          <w:p>
            <w:pPr>
              <w:jc w:val="right"/>
              <w:spacing w:after="0"/>
              <w:rPr>
                <w:sz w:val="20"/>
                <w:szCs w:val="20"/>
                <w:color w:val="auto"/>
              </w:rPr>
            </w:pPr>
            <w:r>
              <w:rPr>
                <w:rFonts w:ascii="Arial" w:cs="Arial" w:eastAsia="Arial" w:hAnsi="Arial"/>
                <w:sz w:val="12"/>
                <w:szCs w:val="12"/>
                <w:color w:val="auto"/>
              </w:rPr>
              <w:t>22</w:t>
            </w:r>
          </w:p>
        </w:tc>
        <w:tc>
          <w:tcPr>
            <w:tcW w:w="1200" w:type="dxa"/>
            <w:vAlign w:val="bottom"/>
          </w:tcPr>
          <w:p>
            <w:pPr>
              <w:jc w:val="right"/>
              <w:ind w:right="298"/>
              <w:spacing w:after="0"/>
              <w:rPr>
                <w:sz w:val="20"/>
                <w:szCs w:val="20"/>
                <w:color w:val="auto"/>
              </w:rPr>
            </w:pPr>
            <w:r>
              <w:rPr>
                <w:rFonts w:ascii="Arial" w:cs="Arial" w:eastAsia="Arial" w:hAnsi="Arial"/>
                <w:sz w:val="12"/>
                <w:szCs w:val="12"/>
                <w:color w:val="auto"/>
              </w:rPr>
              <w:t>405</w:t>
            </w:r>
          </w:p>
        </w:tc>
        <w:tc>
          <w:tcPr>
            <w:tcW w:w="600" w:type="dxa"/>
            <w:vAlign w:val="bottom"/>
          </w:tcPr>
          <w:p>
            <w:pPr>
              <w:spacing w:after="0"/>
              <w:rPr>
                <w:sz w:val="15"/>
                <w:szCs w:val="15"/>
                <w:color w:val="auto"/>
              </w:rPr>
            </w:pPr>
          </w:p>
        </w:tc>
        <w:tc>
          <w:tcPr>
            <w:tcW w:w="106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428</w:t>
            </w:r>
          </w:p>
        </w:tc>
        <w:tc>
          <w:tcPr>
            <w:tcW w:w="0" w:type="dxa"/>
            <w:vAlign w:val="bottom"/>
          </w:tcPr>
          <w:p>
            <w:pPr>
              <w:spacing w:after="0"/>
              <w:rPr>
                <w:sz w:val="1"/>
                <w:szCs w:val="1"/>
                <w:color w:val="auto"/>
              </w:rPr>
            </w:pPr>
          </w:p>
        </w:tc>
      </w:tr>
      <w:tr>
        <w:trPr>
          <w:trHeight w:val="26"/>
        </w:trPr>
        <w:tc>
          <w:tcPr>
            <w:tcW w:w="39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94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2"/>
                <w:szCs w:val="12"/>
                <w:color w:val="3C3C3B"/>
              </w:rPr>
              <w:t>Equity component of OCEANE net of deferred taxes</w:t>
            </w:r>
          </w:p>
        </w:tc>
        <w:tc>
          <w:tcPr>
            <w:tcW w:w="940" w:type="dxa"/>
            <w:vAlign w:val="bottom"/>
            <w:tcBorders>
              <w:bottom w:val="single" w:sz="8" w:color="FDF5E7"/>
            </w:tcBorders>
            <w:shd w:val="clear" w:color="auto" w:fill="FDF5E7"/>
          </w:tcPr>
          <w:p>
            <w:pPr>
              <w:spacing w:after="0"/>
              <w:rPr>
                <w:sz w:val="15"/>
                <w:szCs w:val="15"/>
                <w:color w:val="auto"/>
              </w:rPr>
            </w:pPr>
          </w:p>
        </w:tc>
        <w:tc>
          <w:tcPr>
            <w:tcW w:w="620" w:type="dxa"/>
            <w:vAlign w:val="bottom"/>
            <w:tcBorders>
              <w:bottom w:val="single" w:sz="8" w:color="FDF5E7"/>
            </w:tcBorders>
            <w:shd w:val="clear" w:color="auto" w:fill="FDF5E7"/>
          </w:tcPr>
          <w:p>
            <w:pPr>
              <w:spacing w:after="0"/>
              <w:rPr>
                <w:sz w:val="15"/>
                <w:szCs w:val="15"/>
                <w:color w:val="auto"/>
              </w:rPr>
            </w:pPr>
          </w:p>
        </w:tc>
        <w:tc>
          <w:tcPr>
            <w:tcW w:w="1200" w:type="dxa"/>
            <w:vAlign w:val="bottom"/>
            <w:tcBorders>
              <w:bottom w:val="single" w:sz="8" w:color="FDF5E7"/>
            </w:tcBorders>
            <w:shd w:val="clear" w:color="auto" w:fill="FDF5E7"/>
          </w:tcPr>
          <w:p>
            <w:pPr>
              <w:jc w:val="right"/>
              <w:ind w:right="298"/>
              <w:spacing w:after="0"/>
              <w:rPr>
                <w:sz w:val="20"/>
                <w:szCs w:val="20"/>
                <w:color w:val="auto"/>
              </w:rPr>
            </w:pPr>
            <w:r>
              <w:rPr>
                <w:rFonts w:ascii="Arial" w:cs="Arial" w:eastAsia="Arial" w:hAnsi="Arial"/>
                <w:sz w:val="12"/>
                <w:szCs w:val="12"/>
                <w:color w:val="auto"/>
              </w:rPr>
              <w:t>(222)</w:t>
            </w:r>
          </w:p>
        </w:tc>
        <w:tc>
          <w:tcPr>
            <w:tcW w:w="600" w:type="dxa"/>
            <w:vAlign w:val="bottom"/>
            <w:tcBorders>
              <w:bottom w:val="single" w:sz="8" w:color="FDF5E7"/>
            </w:tcBorders>
            <w:shd w:val="clear" w:color="auto" w:fill="FDF5E7"/>
          </w:tcPr>
          <w:p>
            <w:pPr>
              <w:spacing w:after="0"/>
              <w:rPr>
                <w:sz w:val="15"/>
                <w:szCs w:val="15"/>
                <w:color w:val="auto"/>
              </w:rPr>
            </w:pPr>
          </w:p>
        </w:tc>
        <w:tc>
          <w:tcPr>
            <w:tcW w:w="1060" w:type="dxa"/>
            <w:vAlign w:val="bottom"/>
            <w:tcBorders>
              <w:bottom w:val="single" w:sz="8" w:color="FDF5E7"/>
            </w:tcBorders>
            <w:shd w:val="clear" w:color="auto" w:fill="FDF5E7"/>
          </w:tcPr>
          <w:p>
            <w:pPr>
              <w:spacing w:after="0"/>
              <w:rPr>
                <w:sz w:val="15"/>
                <w:szCs w:val="15"/>
                <w:color w:val="auto"/>
              </w:rPr>
            </w:pPr>
          </w:p>
        </w:tc>
        <w:tc>
          <w:tcPr>
            <w:tcW w:w="1100" w:type="dxa"/>
            <w:vAlign w:val="bottom"/>
            <w:tcBorders>
              <w:bottom w:val="single" w:sz="8" w:color="FDF5E7"/>
            </w:tcBorders>
            <w:shd w:val="clear" w:color="auto" w:fill="FDF5E7"/>
          </w:tcPr>
          <w:p>
            <w:pPr>
              <w:spacing w:after="0"/>
              <w:rPr>
                <w:sz w:val="15"/>
                <w:szCs w:val="15"/>
                <w:color w:val="auto"/>
              </w:rPr>
            </w:pPr>
          </w:p>
        </w:tc>
        <w:tc>
          <w:tcPr>
            <w:tcW w:w="820" w:type="dxa"/>
            <w:vAlign w:val="bottom"/>
            <w:tcBorders>
              <w:bottom w:val="single" w:sz="8" w:color="FDF5E7"/>
            </w:tcBorders>
            <w:shd w:val="clear" w:color="auto" w:fill="FDF5E7"/>
          </w:tcPr>
          <w:p>
            <w:pPr>
              <w:spacing w:after="0"/>
              <w:rPr>
                <w:sz w:val="15"/>
                <w:szCs w:val="15"/>
                <w:color w:val="auto"/>
              </w:rPr>
            </w:pP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(222)</w:t>
            </w:r>
          </w:p>
        </w:tc>
        <w:tc>
          <w:tcPr>
            <w:tcW w:w="0" w:type="dxa"/>
            <w:vAlign w:val="bottom"/>
          </w:tcPr>
          <w:p>
            <w:pPr>
              <w:spacing w:after="0"/>
              <w:rPr>
                <w:sz w:val="1"/>
                <w:szCs w:val="1"/>
                <w:color w:val="auto"/>
              </w:rPr>
            </w:pPr>
          </w:p>
        </w:tc>
      </w:tr>
      <w:tr>
        <w:trPr>
          <w:trHeight w:val="173"/>
        </w:trPr>
        <w:tc>
          <w:tcPr>
            <w:tcW w:w="3940" w:type="dxa"/>
            <w:vAlign w:val="bottom"/>
            <w:gridSpan w:val="2"/>
          </w:tcPr>
          <w:p>
            <w:pPr>
              <w:ind w:left="20"/>
              <w:spacing w:after="0"/>
              <w:rPr>
                <w:sz w:val="20"/>
                <w:szCs w:val="20"/>
                <w:color w:val="auto"/>
              </w:rPr>
            </w:pPr>
            <w:r>
              <w:rPr>
                <w:rFonts w:ascii="Arial" w:cs="Arial" w:eastAsia="Arial" w:hAnsi="Arial"/>
                <w:sz w:val="12"/>
                <w:szCs w:val="12"/>
                <w:color w:val="3C3C3B"/>
              </w:rPr>
              <w:t>Share-based compensation</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jc w:val="right"/>
              <w:ind w:right="298"/>
              <w:spacing w:after="0"/>
              <w:rPr>
                <w:sz w:val="20"/>
                <w:szCs w:val="20"/>
                <w:color w:val="auto"/>
              </w:rPr>
            </w:pPr>
            <w:r>
              <w:rPr>
                <w:rFonts w:ascii="Arial" w:cs="Arial" w:eastAsia="Arial" w:hAnsi="Arial"/>
                <w:sz w:val="12"/>
                <w:szCs w:val="12"/>
                <w:color w:val="auto"/>
              </w:rPr>
              <w:t>276</w:t>
            </w: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276</w:t>
            </w:r>
          </w:p>
        </w:tc>
        <w:tc>
          <w:tcPr>
            <w:tcW w:w="0" w:type="dxa"/>
            <w:vAlign w:val="bottom"/>
          </w:tcPr>
          <w:p>
            <w:pPr>
              <w:spacing w:after="0"/>
              <w:rPr>
                <w:sz w:val="1"/>
                <w:szCs w:val="1"/>
                <w:color w:val="auto"/>
              </w:rPr>
            </w:pPr>
          </w:p>
        </w:tc>
      </w:tr>
      <w:tr>
        <w:trPr>
          <w:trHeight w:val="26"/>
        </w:trPr>
        <w:tc>
          <w:tcPr>
            <w:tcW w:w="39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94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2"/>
                <w:szCs w:val="12"/>
                <w:color w:val="3C3C3B"/>
              </w:rPr>
              <w:t>Treasury shares</w:t>
            </w:r>
          </w:p>
        </w:tc>
        <w:tc>
          <w:tcPr>
            <w:tcW w:w="940" w:type="dxa"/>
            <w:vAlign w:val="bottom"/>
            <w:tcBorders>
              <w:bottom w:val="single" w:sz="8" w:color="FDF5E7"/>
            </w:tcBorders>
            <w:shd w:val="clear" w:color="auto" w:fill="FDF5E7"/>
          </w:tcPr>
          <w:p>
            <w:pPr>
              <w:spacing w:after="0"/>
              <w:rPr>
                <w:sz w:val="15"/>
                <w:szCs w:val="15"/>
                <w:color w:val="auto"/>
              </w:rPr>
            </w:pPr>
          </w:p>
        </w:tc>
        <w:tc>
          <w:tcPr>
            <w:tcW w:w="620" w:type="dxa"/>
            <w:vAlign w:val="bottom"/>
            <w:tcBorders>
              <w:bottom w:val="single" w:sz="8" w:color="FDF5E7"/>
            </w:tcBorders>
            <w:shd w:val="clear" w:color="auto" w:fill="FDF5E7"/>
          </w:tcPr>
          <w:p>
            <w:pPr>
              <w:spacing w:after="0"/>
              <w:rPr>
                <w:sz w:val="15"/>
                <w:szCs w:val="15"/>
                <w:color w:val="auto"/>
              </w:rPr>
            </w:pPr>
          </w:p>
        </w:tc>
        <w:tc>
          <w:tcPr>
            <w:tcW w:w="1200" w:type="dxa"/>
            <w:vAlign w:val="bottom"/>
            <w:tcBorders>
              <w:bottom w:val="single" w:sz="8" w:color="FDF5E7"/>
            </w:tcBorders>
            <w:shd w:val="clear" w:color="auto" w:fill="FDF5E7"/>
          </w:tcPr>
          <w:p>
            <w:pPr>
              <w:spacing w:after="0"/>
              <w:rPr>
                <w:sz w:val="15"/>
                <w:szCs w:val="15"/>
                <w:color w:val="auto"/>
              </w:rPr>
            </w:pPr>
          </w:p>
        </w:tc>
        <w:tc>
          <w:tcPr>
            <w:tcW w:w="600" w:type="dxa"/>
            <w:vAlign w:val="bottom"/>
            <w:tcBorders>
              <w:bottom w:val="single" w:sz="8" w:color="FDF5E7"/>
            </w:tcBorders>
            <w:shd w:val="clear" w:color="auto" w:fill="FDF5E7"/>
          </w:tcPr>
          <w:p>
            <w:pPr>
              <w:jc w:val="right"/>
              <w:ind w:right="18"/>
              <w:spacing w:after="0"/>
              <w:rPr>
                <w:sz w:val="20"/>
                <w:szCs w:val="20"/>
                <w:color w:val="auto"/>
              </w:rPr>
            </w:pPr>
            <w:r>
              <w:rPr>
                <w:rFonts w:ascii="Arial" w:cs="Arial" w:eastAsia="Arial" w:hAnsi="Arial"/>
                <w:sz w:val="12"/>
                <w:szCs w:val="12"/>
                <w:color w:val="auto"/>
              </w:rPr>
              <w:t>(348)</w:t>
            </w:r>
          </w:p>
        </w:tc>
        <w:tc>
          <w:tcPr>
            <w:tcW w:w="1060" w:type="dxa"/>
            <w:vAlign w:val="bottom"/>
            <w:tcBorders>
              <w:bottom w:val="single" w:sz="8" w:color="FDF5E7"/>
            </w:tcBorders>
            <w:shd w:val="clear" w:color="auto" w:fill="FDF5E7"/>
          </w:tcPr>
          <w:p>
            <w:pPr>
              <w:spacing w:after="0"/>
              <w:rPr>
                <w:sz w:val="15"/>
                <w:szCs w:val="15"/>
                <w:color w:val="auto"/>
              </w:rPr>
            </w:pPr>
          </w:p>
        </w:tc>
        <w:tc>
          <w:tcPr>
            <w:tcW w:w="1100" w:type="dxa"/>
            <w:vAlign w:val="bottom"/>
            <w:tcBorders>
              <w:bottom w:val="single" w:sz="8" w:color="FDF5E7"/>
            </w:tcBorders>
            <w:shd w:val="clear" w:color="auto" w:fill="FDF5E7"/>
          </w:tcPr>
          <w:p>
            <w:pPr>
              <w:spacing w:after="0"/>
              <w:rPr>
                <w:sz w:val="15"/>
                <w:szCs w:val="15"/>
                <w:color w:val="auto"/>
              </w:rPr>
            </w:pPr>
          </w:p>
        </w:tc>
        <w:tc>
          <w:tcPr>
            <w:tcW w:w="820" w:type="dxa"/>
            <w:vAlign w:val="bottom"/>
            <w:tcBorders>
              <w:bottom w:val="single" w:sz="8" w:color="FDF5E7"/>
            </w:tcBorders>
            <w:shd w:val="clear" w:color="auto" w:fill="FDF5E7"/>
          </w:tcPr>
          <w:p>
            <w:pPr>
              <w:spacing w:after="0"/>
              <w:rPr>
                <w:sz w:val="15"/>
                <w:szCs w:val="15"/>
                <w:color w:val="auto"/>
              </w:rPr>
            </w:pP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(348)</w:t>
            </w:r>
          </w:p>
        </w:tc>
        <w:tc>
          <w:tcPr>
            <w:tcW w:w="0" w:type="dxa"/>
            <w:vAlign w:val="bottom"/>
          </w:tcPr>
          <w:p>
            <w:pPr>
              <w:spacing w:after="0"/>
              <w:rPr>
                <w:sz w:val="1"/>
                <w:szCs w:val="1"/>
                <w:color w:val="auto"/>
              </w:rPr>
            </w:pPr>
          </w:p>
        </w:tc>
      </w:tr>
      <w:tr>
        <w:trPr>
          <w:trHeight w:val="173"/>
        </w:trPr>
        <w:tc>
          <w:tcPr>
            <w:tcW w:w="3940" w:type="dxa"/>
            <w:vAlign w:val="bottom"/>
            <w:gridSpan w:val="2"/>
          </w:tcPr>
          <w:p>
            <w:pPr>
              <w:ind w:left="20"/>
              <w:spacing w:after="0"/>
              <w:rPr>
                <w:sz w:val="20"/>
                <w:szCs w:val="20"/>
                <w:color w:val="auto"/>
              </w:rPr>
            </w:pPr>
            <w:r>
              <w:rPr>
                <w:rFonts w:ascii="Arial" w:cs="Arial" w:eastAsia="Arial" w:hAnsi="Arial"/>
                <w:sz w:val="12"/>
                <w:szCs w:val="12"/>
                <w:color w:val="3C3C3B"/>
              </w:rPr>
              <w:t>Other movements</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jc w:val="right"/>
              <w:ind w:right="98"/>
              <w:spacing w:after="0"/>
              <w:rPr>
                <w:sz w:val="20"/>
                <w:szCs w:val="20"/>
                <w:color w:val="auto"/>
              </w:rPr>
            </w:pPr>
            <w:r>
              <w:rPr>
                <w:rFonts w:ascii="Arial" w:cs="Arial" w:eastAsia="Arial" w:hAnsi="Arial"/>
                <w:sz w:val="12"/>
                <w:szCs w:val="12"/>
                <w:color w:val="auto"/>
              </w:rPr>
              <w:t>(15)</w:t>
            </w: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26"/>
        </w:trPr>
        <w:tc>
          <w:tcPr>
            <w:tcW w:w="3940" w:type="dxa"/>
            <w:vAlign w:val="bottom"/>
            <w:tcBorders>
              <w:bottom w:val="single" w:sz="8" w:color="242424"/>
            </w:tcBorders>
            <w:gridSpan w:val="2"/>
          </w:tcPr>
          <w:p>
            <w:pPr>
              <w:spacing w:after="0"/>
              <w:rPr>
                <w:sz w:val="2"/>
                <w:szCs w:val="2"/>
                <w:color w:val="auto"/>
              </w:rPr>
            </w:pPr>
          </w:p>
        </w:tc>
        <w:tc>
          <w:tcPr>
            <w:tcW w:w="940" w:type="dxa"/>
            <w:vAlign w:val="bottom"/>
            <w:tcBorders>
              <w:bottom w:val="single" w:sz="8" w:color="242424"/>
            </w:tcBorders>
          </w:tcPr>
          <w:p>
            <w:pPr>
              <w:spacing w:after="0"/>
              <w:rPr>
                <w:sz w:val="2"/>
                <w:szCs w:val="2"/>
                <w:color w:val="auto"/>
              </w:rPr>
            </w:pPr>
          </w:p>
        </w:tc>
        <w:tc>
          <w:tcPr>
            <w:tcW w:w="620" w:type="dxa"/>
            <w:vAlign w:val="bottom"/>
            <w:tcBorders>
              <w:bottom w:val="single" w:sz="8" w:color="242424"/>
            </w:tcBorders>
          </w:tcPr>
          <w:p>
            <w:pPr>
              <w:spacing w:after="0"/>
              <w:rPr>
                <w:sz w:val="2"/>
                <w:szCs w:val="2"/>
                <w:color w:val="auto"/>
              </w:rPr>
            </w:pPr>
          </w:p>
        </w:tc>
        <w:tc>
          <w:tcPr>
            <w:tcW w:w="1200" w:type="dxa"/>
            <w:vAlign w:val="bottom"/>
            <w:tcBorders>
              <w:bottom w:val="single" w:sz="8" w:color="242424"/>
            </w:tcBorders>
          </w:tcPr>
          <w:p>
            <w:pPr>
              <w:spacing w:after="0"/>
              <w:rPr>
                <w:sz w:val="2"/>
                <w:szCs w:val="2"/>
                <w:color w:val="auto"/>
              </w:rPr>
            </w:pPr>
          </w:p>
        </w:tc>
        <w:tc>
          <w:tcPr>
            <w:tcW w:w="600" w:type="dxa"/>
            <w:vAlign w:val="bottom"/>
            <w:tcBorders>
              <w:bottom w:val="single" w:sz="8" w:color="242424"/>
            </w:tcBorders>
          </w:tcPr>
          <w:p>
            <w:pPr>
              <w:spacing w:after="0"/>
              <w:rPr>
                <w:sz w:val="2"/>
                <w:szCs w:val="2"/>
                <w:color w:val="auto"/>
              </w:rPr>
            </w:pPr>
          </w:p>
        </w:tc>
        <w:tc>
          <w:tcPr>
            <w:tcW w:w="1060" w:type="dxa"/>
            <w:vAlign w:val="bottom"/>
            <w:tcBorders>
              <w:bottom w:val="single" w:sz="8" w:color="242424"/>
            </w:tcBorders>
          </w:tcPr>
          <w:p>
            <w:pPr>
              <w:spacing w:after="0"/>
              <w:rPr>
                <w:sz w:val="2"/>
                <w:szCs w:val="2"/>
                <w:color w:val="auto"/>
              </w:rPr>
            </w:pPr>
          </w:p>
        </w:tc>
        <w:tc>
          <w:tcPr>
            <w:tcW w:w="1100" w:type="dxa"/>
            <w:vAlign w:val="bottom"/>
            <w:tcBorders>
              <w:bottom w:val="single" w:sz="8" w:color="242424"/>
            </w:tcBorders>
          </w:tcPr>
          <w:p>
            <w:pPr>
              <w:spacing w:after="0"/>
              <w:rPr>
                <w:sz w:val="2"/>
                <w:szCs w:val="2"/>
                <w:color w:val="auto"/>
              </w:rPr>
            </w:pPr>
          </w:p>
        </w:tc>
        <w:tc>
          <w:tcPr>
            <w:tcW w:w="820" w:type="dxa"/>
            <w:vAlign w:val="bottom"/>
            <w:tcBorders>
              <w:bottom w:val="single" w:sz="8" w:color="242424"/>
            </w:tcBorders>
          </w:tcPr>
          <w:p>
            <w:pPr>
              <w:spacing w:after="0"/>
              <w:rPr>
                <w:sz w:val="2"/>
                <w:szCs w:val="2"/>
                <w:color w:val="auto"/>
              </w:rPr>
            </w:pPr>
          </w:p>
        </w:tc>
        <w:tc>
          <w:tcPr>
            <w:tcW w:w="940" w:type="dxa"/>
            <w:vAlign w:val="bottom"/>
            <w:tcBorders>
              <w:bottom w:val="single" w:sz="8" w:color="242424"/>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ind w:left="20"/>
              <w:spacing w:after="0"/>
              <w:rPr>
                <w:sz w:val="20"/>
                <w:szCs w:val="20"/>
                <w:color w:val="auto"/>
              </w:rPr>
            </w:pPr>
            <w:r>
              <w:rPr>
                <w:rFonts w:ascii="Arial" w:cs="Arial" w:eastAsia="Arial" w:hAnsi="Arial"/>
                <w:sz w:val="12"/>
                <w:szCs w:val="12"/>
                <w:b w:val="1"/>
                <w:bCs w:val="1"/>
                <w:color w:val="3C3C3B"/>
              </w:rPr>
              <w:t>As of December 31, 2024</w:t>
            </w:r>
          </w:p>
        </w:tc>
        <w:tc>
          <w:tcPr>
            <w:tcW w:w="940" w:type="dxa"/>
            <w:vAlign w:val="bottom"/>
          </w:tcPr>
          <w:p>
            <w:pPr>
              <w:jc w:val="right"/>
              <w:ind w:right="138"/>
              <w:spacing w:after="0"/>
              <w:rPr>
                <w:sz w:val="20"/>
                <w:szCs w:val="20"/>
                <w:color w:val="auto"/>
              </w:rPr>
            </w:pPr>
            <w:r>
              <w:rPr>
                <w:rFonts w:ascii="Arial" w:cs="Arial" w:eastAsia="Arial" w:hAnsi="Arial"/>
                <w:sz w:val="12"/>
                <w:szCs w:val="12"/>
                <w:b w:val="1"/>
                <w:bCs w:val="1"/>
                <w:color w:val="auto"/>
              </w:rPr>
              <w:t>49,996,185</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12,499</w:t>
            </w:r>
          </w:p>
        </w:tc>
        <w:tc>
          <w:tcPr>
            <w:tcW w:w="1200" w:type="dxa"/>
            <w:vAlign w:val="bottom"/>
          </w:tcPr>
          <w:p>
            <w:pPr>
              <w:jc w:val="right"/>
              <w:ind w:right="298"/>
              <w:spacing w:after="0"/>
              <w:rPr>
                <w:sz w:val="20"/>
                <w:szCs w:val="20"/>
                <w:color w:val="auto"/>
              </w:rPr>
            </w:pPr>
            <w:r>
              <w:rPr>
                <w:rFonts w:ascii="Arial" w:cs="Arial" w:eastAsia="Arial" w:hAnsi="Arial"/>
                <w:sz w:val="12"/>
                <w:szCs w:val="12"/>
                <w:b w:val="1"/>
                <w:bCs w:val="1"/>
                <w:color w:val="auto"/>
              </w:rPr>
              <w:t>446,948</w:t>
            </w:r>
          </w:p>
        </w:tc>
        <w:tc>
          <w:tcPr>
            <w:tcW w:w="600" w:type="dxa"/>
            <w:vAlign w:val="bottom"/>
          </w:tcPr>
          <w:p>
            <w:pPr>
              <w:jc w:val="right"/>
              <w:ind w:right="18"/>
              <w:spacing w:after="0"/>
              <w:rPr>
                <w:sz w:val="20"/>
                <w:szCs w:val="20"/>
                <w:color w:val="auto"/>
              </w:rPr>
            </w:pPr>
            <w:r>
              <w:rPr>
                <w:rFonts w:ascii="Arial" w:cs="Arial" w:eastAsia="Arial" w:hAnsi="Arial"/>
                <w:sz w:val="12"/>
                <w:szCs w:val="12"/>
                <w:b w:val="1"/>
                <w:bCs w:val="1"/>
                <w:color w:val="auto"/>
              </w:rPr>
              <w:t>(1,147)</w:t>
            </w:r>
          </w:p>
        </w:tc>
        <w:tc>
          <w:tcPr>
            <w:tcW w:w="1060" w:type="dxa"/>
            <w:vAlign w:val="bottom"/>
          </w:tcPr>
          <w:p>
            <w:pPr>
              <w:jc w:val="right"/>
              <w:ind w:right="98"/>
              <w:spacing w:after="0"/>
              <w:rPr>
                <w:sz w:val="20"/>
                <w:szCs w:val="20"/>
                <w:color w:val="auto"/>
              </w:rPr>
            </w:pPr>
            <w:r>
              <w:rPr>
                <w:rFonts w:ascii="Arial" w:cs="Arial" w:eastAsia="Arial" w:hAnsi="Arial"/>
                <w:sz w:val="12"/>
                <w:szCs w:val="12"/>
                <w:b w:val="1"/>
                <w:bCs w:val="1"/>
                <w:color w:val="auto"/>
              </w:rPr>
              <w:t>(390,930)</w:t>
            </w:r>
          </w:p>
        </w:tc>
        <w:tc>
          <w:tcPr>
            <w:tcW w:w="1100" w:type="dxa"/>
            <w:vAlign w:val="bottom"/>
          </w:tcPr>
          <w:p>
            <w:pPr>
              <w:jc w:val="right"/>
              <w:ind w:right="198"/>
              <w:spacing w:after="0"/>
              <w:rPr>
                <w:sz w:val="20"/>
                <w:szCs w:val="20"/>
                <w:color w:val="auto"/>
              </w:rPr>
            </w:pPr>
            <w:r>
              <w:rPr>
                <w:rFonts w:ascii="Arial" w:cs="Arial" w:eastAsia="Arial" w:hAnsi="Arial"/>
                <w:sz w:val="12"/>
                <w:szCs w:val="12"/>
                <w:b w:val="1"/>
                <w:bCs w:val="1"/>
                <w:color w:val="auto"/>
              </w:rPr>
              <w:t>347</w:t>
            </w:r>
          </w:p>
        </w:tc>
        <w:tc>
          <w:tcPr>
            <w:tcW w:w="820" w:type="dxa"/>
            <w:vAlign w:val="bottom"/>
          </w:tcPr>
          <w:p>
            <w:pPr>
              <w:jc w:val="right"/>
              <w:ind w:right="18"/>
              <w:spacing w:after="0"/>
              <w:rPr>
                <w:sz w:val="20"/>
                <w:szCs w:val="20"/>
                <w:color w:val="auto"/>
              </w:rPr>
            </w:pPr>
            <w:r>
              <w:rPr>
                <w:rFonts w:ascii="Arial" w:cs="Arial" w:eastAsia="Arial" w:hAnsi="Arial"/>
                <w:sz w:val="12"/>
                <w:szCs w:val="12"/>
                <w:b w:val="1"/>
                <w:bCs w:val="1"/>
                <w:color w:val="auto"/>
              </w:rPr>
              <w:t>1,507</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69,224</w:t>
            </w:r>
          </w:p>
        </w:tc>
        <w:tc>
          <w:tcPr>
            <w:tcW w:w="0" w:type="dxa"/>
            <w:vAlign w:val="bottom"/>
          </w:tcPr>
          <w:p>
            <w:pPr>
              <w:spacing w:after="0"/>
              <w:rPr>
                <w:sz w:val="1"/>
                <w:szCs w:val="1"/>
                <w:color w:val="auto"/>
              </w:rPr>
            </w:pPr>
          </w:p>
        </w:tc>
      </w:tr>
      <w:tr>
        <w:trPr>
          <w:trHeight w:val="20"/>
        </w:trPr>
        <w:tc>
          <w:tcPr>
            <w:tcW w:w="3940" w:type="dxa"/>
            <w:vAlign w:val="bottom"/>
            <w:tcBorders>
              <w:bottom w:val="single" w:sz="8" w:color="242424"/>
            </w:tcBorders>
            <w:gridSpan w:val="2"/>
          </w:tcPr>
          <w:p>
            <w:pPr>
              <w:spacing w:after="0" w:line="20" w:lineRule="exact"/>
              <w:rPr>
                <w:sz w:val="1"/>
                <w:szCs w:val="1"/>
                <w:color w:val="auto"/>
              </w:rPr>
            </w:pPr>
          </w:p>
        </w:tc>
        <w:tc>
          <w:tcPr>
            <w:tcW w:w="940" w:type="dxa"/>
            <w:vAlign w:val="bottom"/>
            <w:tcBorders>
              <w:bottom w:val="single" w:sz="8" w:color="242424"/>
            </w:tcBorders>
          </w:tcPr>
          <w:p>
            <w:pPr>
              <w:spacing w:after="0" w:line="20" w:lineRule="exact"/>
              <w:rPr>
                <w:sz w:val="1"/>
                <w:szCs w:val="1"/>
                <w:color w:val="auto"/>
              </w:rPr>
            </w:pPr>
          </w:p>
        </w:tc>
        <w:tc>
          <w:tcPr>
            <w:tcW w:w="620" w:type="dxa"/>
            <w:vAlign w:val="bottom"/>
            <w:tcBorders>
              <w:bottom w:val="single" w:sz="8" w:color="242424"/>
            </w:tcBorders>
          </w:tcPr>
          <w:p>
            <w:pPr>
              <w:spacing w:after="0" w:line="20" w:lineRule="exact"/>
              <w:rPr>
                <w:sz w:val="1"/>
                <w:szCs w:val="1"/>
                <w:color w:val="auto"/>
              </w:rPr>
            </w:pPr>
          </w:p>
        </w:tc>
        <w:tc>
          <w:tcPr>
            <w:tcW w:w="1200" w:type="dxa"/>
            <w:vAlign w:val="bottom"/>
            <w:tcBorders>
              <w:bottom w:val="single" w:sz="8" w:color="242424"/>
            </w:tcBorders>
          </w:tcPr>
          <w:p>
            <w:pPr>
              <w:spacing w:after="0" w:line="20" w:lineRule="exact"/>
              <w:rPr>
                <w:sz w:val="1"/>
                <w:szCs w:val="1"/>
                <w:color w:val="auto"/>
              </w:rPr>
            </w:pPr>
          </w:p>
        </w:tc>
        <w:tc>
          <w:tcPr>
            <w:tcW w:w="600" w:type="dxa"/>
            <w:vAlign w:val="bottom"/>
            <w:tcBorders>
              <w:bottom w:val="single" w:sz="8" w:color="242424"/>
            </w:tcBorders>
          </w:tcPr>
          <w:p>
            <w:pPr>
              <w:spacing w:after="0" w:line="20" w:lineRule="exact"/>
              <w:rPr>
                <w:sz w:val="1"/>
                <w:szCs w:val="1"/>
                <w:color w:val="auto"/>
              </w:rPr>
            </w:pPr>
          </w:p>
        </w:tc>
        <w:tc>
          <w:tcPr>
            <w:tcW w:w="1060" w:type="dxa"/>
            <w:vAlign w:val="bottom"/>
            <w:tcBorders>
              <w:bottom w:val="single" w:sz="8" w:color="242424"/>
            </w:tcBorders>
          </w:tcPr>
          <w:p>
            <w:pPr>
              <w:spacing w:after="0" w:line="20" w:lineRule="exact"/>
              <w:rPr>
                <w:sz w:val="1"/>
                <w:szCs w:val="1"/>
                <w:color w:val="auto"/>
              </w:rPr>
            </w:pPr>
          </w:p>
        </w:tc>
        <w:tc>
          <w:tcPr>
            <w:tcW w:w="1100" w:type="dxa"/>
            <w:vAlign w:val="bottom"/>
            <w:tcBorders>
              <w:bottom w:val="single" w:sz="8" w:color="242424"/>
            </w:tcBorders>
          </w:tcPr>
          <w:p>
            <w:pPr>
              <w:spacing w:after="0" w:line="20" w:lineRule="exact"/>
              <w:rPr>
                <w:sz w:val="1"/>
                <w:szCs w:val="1"/>
                <w:color w:val="auto"/>
              </w:rPr>
            </w:pPr>
          </w:p>
        </w:tc>
        <w:tc>
          <w:tcPr>
            <w:tcW w:w="820" w:type="dxa"/>
            <w:vAlign w:val="bottom"/>
            <w:tcBorders>
              <w:bottom w:val="single" w:sz="8" w:color="242424"/>
            </w:tcBorders>
          </w:tcPr>
          <w:p>
            <w:pPr>
              <w:spacing w:after="0" w:line="20" w:lineRule="exact"/>
              <w:rPr>
                <w:sz w:val="1"/>
                <w:szCs w:val="1"/>
                <w:color w:val="auto"/>
              </w:rPr>
            </w:pPr>
          </w:p>
        </w:tc>
        <w:tc>
          <w:tcPr>
            <w:tcW w:w="940" w:type="dxa"/>
            <w:vAlign w:val="bottom"/>
            <w:tcBorders>
              <w:bottom w:val="single" w:sz="8" w:color="24242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394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2"/>
                <w:szCs w:val="12"/>
                <w:color w:val="3C3C3B"/>
              </w:rPr>
              <w:t>Net profit (loss)</w:t>
            </w:r>
          </w:p>
        </w:tc>
        <w:tc>
          <w:tcPr>
            <w:tcW w:w="940" w:type="dxa"/>
            <w:vAlign w:val="bottom"/>
            <w:tcBorders>
              <w:bottom w:val="single" w:sz="8" w:color="FDF5E7"/>
            </w:tcBorders>
            <w:shd w:val="clear" w:color="auto" w:fill="FDF5E7"/>
          </w:tcPr>
          <w:p>
            <w:pPr>
              <w:spacing w:after="0"/>
              <w:rPr>
                <w:sz w:val="14"/>
                <w:szCs w:val="14"/>
                <w:color w:val="auto"/>
              </w:rPr>
            </w:pPr>
          </w:p>
        </w:tc>
        <w:tc>
          <w:tcPr>
            <w:tcW w:w="620" w:type="dxa"/>
            <w:vAlign w:val="bottom"/>
            <w:tcBorders>
              <w:bottom w:val="single" w:sz="8" w:color="FDF5E7"/>
            </w:tcBorders>
            <w:shd w:val="clear" w:color="auto" w:fill="FDF5E7"/>
          </w:tcPr>
          <w:p>
            <w:pPr>
              <w:spacing w:after="0"/>
              <w:rPr>
                <w:sz w:val="14"/>
                <w:szCs w:val="14"/>
                <w:color w:val="auto"/>
              </w:rPr>
            </w:pPr>
          </w:p>
        </w:tc>
        <w:tc>
          <w:tcPr>
            <w:tcW w:w="1200" w:type="dxa"/>
            <w:vAlign w:val="bottom"/>
            <w:tcBorders>
              <w:bottom w:val="single" w:sz="8" w:color="FDF5E7"/>
            </w:tcBorders>
            <w:shd w:val="clear" w:color="auto" w:fill="FDF5E7"/>
          </w:tcPr>
          <w:p>
            <w:pPr>
              <w:spacing w:after="0"/>
              <w:rPr>
                <w:sz w:val="14"/>
                <w:szCs w:val="14"/>
                <w:color w:val="auto"/>
              </w:rPr>
            </w:pPr>
          </w:p>
        </w:tc>
        <w:tc>
          <w:tcPr>
            <w:tcW w:w="600" w:type="dxa"/>
            <w:vAlign w:val="bottom"/>
            <w:tcBorders>
              <w:bottom w:val="single" w:sz="8" w:color="FDF5E7"/>
            </w:tcBorders>
            <w:shd w:val="clear" w:color="auto" w:fill="FDF5E7"/>
          </w:tcPr>
          <w:p>
            <w:pPr>
              <w:spacing w:after="0"/>
              <w:rPr>
                <w:sz w:val="14"/>
                <w:szCs w:val="14"/>
                <w:color w:val="auto"/>
              </w:rPr>
            </w:pPr>
          </w:p>
        </w:tc>
        <w:tc>
          <w:tcPr>
            <w:tcW w:w="1060" w:type="dxa"/>
            <w:vAlign w:val="bottom"/>
            <w:tcBorders>
              <w:bottom w:val="single" w:sz="8" w:color="FDF5E7"/>
            </w:tcBorders>
            <w:shd w:val="clear" w:color="auto" w:fill="FDF5E7"/>
          </w:tcPr>
          <w:p>
            <w:pPr>
              <w:spacing w:after="0"/>
              <w:rPr>
                <w:sz w:val="14"/>
                <w:szCs w:val="14"/>
                <w:color w:val="auto"/>
              </w:rPr>
            </w:pPr>
          </w:p>
        </w:tc>
        <w:tc>
          <w:tcPr>
            <w:tcW w:w="1100" w:type="dxa"/>
            <w:vAlign w:val="bottom"/>
            <w:tcBorders>
              <w:bottom w:val="single" w:sz="8" w:color="FDF5E7"/>
            </w:tcBorders>
            <w:shd w:val="clear" w:color="auto" w:fill="FDF5E7"/>
          </w:tcPr>
          <w:p>
            <w:pPr>
              <w:spacing w:after="0"/>
              <w:rPr>
                <w:sz w:val="14"/>
                <w:szCs w:val="14"/>
                <w:color w:val="auto"/>
              </w:rPr>
            </w:pPr>
          </w:p>
        </w:tc>
        <w:tc>
          <w:tcPr>
            <w:tcW w:w="820" w:type="dxa"/>
            <w:vAlign w:val="bottom"/>
            <w:tcBorders>
              <w:bottom w:val="single" w:sz="8" w:color="FDF5E7"/>
            </w:tcBorders>
            <w:shd w:val="clear" w:color="auto" w:fill="FDF5E7"/>
          </w:tcPr>
          <w:p>
            <w:pPr>
              <w:jc w:val="right"/>
              <w:ind w:right="18"/>
              <w:spacing w:after="0"/>
              <w:rPr>
                <w:sz w:val="20"/>
                <w:szCs w:val="20"/>
                <w:color w:val="auto"/>
              </w:rPr>
            </w:pPr>
            <w:r>
              <w:rPr>
                <w:rFonts w:ascii="Arial" w:cs="Arial" w:eastAsia="Arial" w:hAnsi="Arial"/>
                <w:sz w:val="12"/>
                <w:szCs w:val="12"/>
                <w:color w:val="auto"/>
              </w:rPr>
              <w:t>(9,956)</w:t>
            </w: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(9,956)</w:t>
            </w:r>
          </w:p>
        </w:tc>
        <w:tc>
          <w:tcPr>
            <w:tcW w:w="0" w:type="dxa"/>
            <w:vAlign w:val="bottom"/>
          </w:tcPr>
          <w:p>
            <w:pPr>
              <w:spacing w:after="0"/>
              <w:rPr>
                <w:sz w:val="1"/>
                <w:szCs w:val="1"/>
                <w:color w:val="auto"/>
              </w:rPr>
            </w:pPr>
          </w:p>
        </w:tc>
      </w:tr>
      <w:tr>
        <w:trPr>
          <w:trHeight w:val="173"/>
        </w:trPr>
        <w:tc>
          <w:tcPr>
            <w:tcW w:w="3940" w:type="dxa"/>
            <w:vAlign w:val="bottom"/>
            <w:gridSpan w:val="2"/>
          </w:tcPr>
          <w:p>
            <w:pPr>
              <w:ind w:left="20"/>
              <w:spacing w:after="0"/>
              <w:rPr>
                <w:sz w:val="20"/>
                <w:szCs w:val="20"/>
                <w:color w:val="auto"/>
              </w:rPr>
            </w:pPr>
            <w:r>
              <w:rPr>
                <w:rFonts w:ascii="Arial" w:cs="Arial" w:eastAsia="Arial" w:hAnsi="Arial"/>
                <w:sz w:val="12"/>
                <w:szCs w:val="12"/>
                <w:color w:val="3C3C3B"/>
              </w:rPr>
              <w:t>Other comprehensive income (loss)</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jc w:val="right"/>
              <w:ind w:right="98"/>
              <w:spacing w:after="0"/>
              <w:rPr>
                <w:sz w:val="20"/>
                <w:szCs w:val="20"/>
                <w:color w:val="auto"/>
              </w:rPr>
            </w:pPr>
            <w:r>
              <w:rPr>
                <w:rFonts w:ascii="Arial" w:cs="Arial" w:eastAsia="Arial" w:hAnsi="Arial"/>
                <w:sz w:val="12"/>
                <w:szCs w:val="12"/>
                <w:color w:val="auto"/>
              </w:rPr>
              <w:t>(10)</w:t>
            </w:r>
          </w:p>
        </w:tc>
        <w:tc>
          <w:tcPr>
            <w:tcW w:w="1100" w:type="dxa"/>
            <w:vAlign w:val="bottom"/>
          </w:tcPr>
          <w:p>
            <w:pPr>
              <w:jc w:val="right"/>
              <w:ind w:right="198"/>
              <w:spacing w:after="0"/>
              <w:rPr>
                <w:sz w:val="20"/>
                <w:szCs w:val="20"/>
                <w:color w:val="auto"/>
              </w:rPr>
            </w:pPr>
            <w:r>
              <w:rPr>
                <w:rFonts w:ascii="Arial" w:cs="Arial" w:eastAsia="Arial" w:hAnsi="Arial"/>
                <w:sz w:val="12"/>
                <w:szCs w:val="12"/>
                <w:color w:val="auto"/>
              </w:rPr>
              <w:t>(161)</w:t>
            </w:r>
          </w:p>
        </w:tc>
        <w:tc>
          <w:tcPr>
            <w:tcW w:w="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(170)</w:t>
            </w:r>
          </w:p>
        </w:tc>
        <w:tc>
          <w:tcPr>
            <w:tcW w:w="0" w:type="dxa"/>
            <w:vAlign w:val="bottom"/>
          </w:tcPr>
          <w:p>
            <w:pPr>
              <w:spacing w:after="0"/>
              <w:rPr>
                <w:sz w:val="1"/>
                <w:szCs w:val="1"/>
                <w:color w:val="auto"/>
              </w:rPr>
            </w:pPr>
          </w:p>
        </w:tc>
      </w:tr>
      <w:tr>
        <w:trPr>
          <w:trHeight w:val="26"/>
        </w:trPr>
        <w:tc>
          <w:tcPr>
            <w:tcW w:w="3940" w:type="dxa"/>
            <w:vAlign w:val="bottom"/>
            <w:tcBorders>
              <w:bottom w:val="single" w:sz="8" w:color="E99D25"/>
            </w:tcBorders>
            <w:gridSpan w:val="2"/>
          </w:tcPr>
          <w:p>
            <w:pPr>
              <w:spacing w:after="0"/>
              <w:rPr>
                <w:sz w:val="2"/>
                <w:szCs w:val="2"/>
                <w:color w:val="auto"/>
              </w:rPr>
            </w:pPr>
          </w:p>
        </w:tc>
        <w:tc>
          <w:tcPr>
            <w:tcW w:w="940" w:type="dxa"/>
            <w:vAlign w:val="bottom"/>
            <w:tcBorders>
              <w:bottom w:val="single" w:sz="8" w:color="E99D25"/>
            </w:tcBorders>
          </w:tcPr>
          <w:p>
            <w:pPr>
              <w:spacing w:after="0"/>
              <w:rPr>
                <w:sz w:val="2"/>
                <w:szCs w:val="2"/>
                <w:color w:val="auto"/>
              </w:rPr>
            </w:pPr>
          </w:p>
        </w:tc>
        <w:tc>
          <w:tcPr>
            <w:tcW w:w="620" w:type="dxa"/>
            <w:vAlign w:val="bottom"/>
            <w:tcBorders>
              <w:bottom w:val="single" w:sz="8" w:color="E99D25"/>
            </w:tcBorders>
          </w:tcPr>
          <w:p>
            <w:pPr>
              <w:spacing w:after="0"/>
              <w:rPr>
                <w:sz w:val="2"/>
                <w:szCs w:val="2"/>
                <w:color w:val="auto"/>
              </w:rPr>
            </w:pPr>
          </w:p>
        </w:tc>
        <w:tc>
          <w:tcPr>
            <w:tcW w:w="1200" w:type="dxa"/>
            <w:vAlign w:val="bottom"/>
            <w:tcBorders>
              <w:bottom w:val="single" w:sz="8" w:color="E99D25"/>
            </w:tcBorders>
          </w:tcPr>
          <w:p>
            <w:pPr>
              <w:spacing w:after="0"/>
              <w:rPr>
                <w:sz w:val="2"/>
                <w:szCs w:val="2"/>
                <w:color w:val="auto"/>
              </w:rPr>
            </w:pPr>
          </w:p>
        </w:tc>
        <w:tc>
          <w:tcPr>
            <w:tcW w:w="600" w:type="dxa"/>
            <w:vAlign w:val="bottom"/>
            <w:tcBorders>
              <w:bottom w:val="single" w:sz="8" w:color="E99D25"/>
            </w:tcBorders>
          </w:tcPr>
          <w:p>
            <w:pPr>
              <w:spacing w:after="0"/>
              <w:rPr>
                <w:sz w:val="2"/>
                <w:szCs w:val="2"/>
                <w:color w:val="auto"/>
              </w:rPr>
            </w:pPr>
          </w:p>
        </w:tc>
        <w:tc>
          <w:tcPr>
            <w:tcW w:w="1060" w:type="dxa"/>
            <w:vAlign w:val="bottom"/>
            <w:tcBorders>
              <w:bottom w:val="single" w:sz="8" w:color="E99D25"/>
            </w:tcBorders>
          </w:tcPr>
          <w:p>
            <w:pPr>
              <w:spacing w:after="0"/>
              <w:rPr>
                <w:sz w:val="2"/>
                <w:szCs w:val="2"/>
                <w:color w:val="auto"/>
              </w:rPr>
            </w:pPr>
          </w:p>
        </w:tc>
        <w:tc>
          <w:tcPr>
            <w:tcW w:w="1100" w:type="dxa"/>
            <w:vAlign w:val="bottom"/>
            <w:tcBorders>
              <w:bottom w:val="single" w:sz="8" w:color="E99D25"/>
            </w:tcBorders>
          </w:tcPr>
          <w:p>
            <w:pPr>
              <w:spacing w:after="0"/>
              <w:rPr>
                <w:sz w:val="2"/>
                <w:szCs w:val="2"/>
                <w:color w:val="auto"/>
              </w:rPr>
            </w:pPr>
          </w:p>
        </w:tc>
        <w:tc>
          <w:tcPr>
            <w:tcW w:w="820" w:type="dxa"/>
            <w:vAlign w:val="bottom"/>
            <w:tcBorders>
              <w:bottom w:val="single" w:sz="8" w:color="E99D25"/>
            </w:tcBorders>
          </w:tcPr>
          <w:p>
            <w:pPr>
              <w:spacing w:after="0"/>
              <w:rPr>
                <w:sz w:val="2"/>
                <w:szCs w:val="2"/>
                <w:color w:val="auto"/>
              </w:rPr>
            </w:pPr>
          </w:p>
        </w:tc>
        <w:tc>
          <w:tcPr>
            <w:tcW w:w="940" w:type="dxa"/>
            <w:vAlign w:val="bottom"/>
            <w:tcBorders>
              <w:bottom w:val="single" w:sz="8" w:color="E99D25"/>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ind w:left="20"/>
              <w:spacing w:after="0"/>
              <w:rPr>
                <w:sz w:val="20"/>
                <w:szCs w:val="20"/>
                <w:color w:val="auto"/>
              </w:rPr>
            </w:pPr>
            <w:r>
              <w:rPr>
                <w:rFonts w:ascii="Arial" w:cs="Arial" w:eastAsia="Arial" w:hAnsi="Arial"/>
                <w:sz w:val="12"/>
                <w:szCs w:val="12"/>
                <w:b w:val="1"/>
                <w:bCs w:val="1"/>
                <w:color w:val="3C3C3B"/>
              </w:rPr>
              <w:t>Total comprehensive income (loss)</w:t>
            </w:r>
          </w:p>
        </w:tc>
        <w:tc>
          <w:tcPr>
            <w:tcW w:w="940" w:type="dxa"/>
            <w:vAlign w:val="bottom"/>
          </w:tcPr>
          <w:p>
            <w:pPr>
              <w:jc w:val="right"/>
              <w:ind w:right="138"/>
              <w:spacing w:after="0"/>
              <w:rPr>
                <w:sz w:val="20"/>
                <w:szCs w:val="20"/>
                <w:color w:val="auto"/>
              </w:rPr>
            </w:pPr>
            <w:r>
              <w:rPr>
                <w:rFonts w:ascii="Arial" w:cs="Arial" w:eastAsia="Arial" w:hAnsi="Arial"/>
                <w:sz w:val="12"/>
                <w:szCs w:val="12"/>
                <w:b w:val="1"/>
                <w:bCs w:val="1"/>
                <w:color w:val="auto"/>
              </w:rPr>
              <w:t>—</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00" w:type="dxa"/>
            <w:vAlign w:val="bottom"/>
          </w:tcPr>
          <w:p>
            <w:pPr>
              <w:jc w:val="right"/>
              <w:ind w:right="298"/>
              <w:spacing w:after="0"/>
              <w:rPr>
                <w:sz w:val="20"/>
                <w:szCs w:val="20"/>
                <w:color w:val="auto"/>
              </w:rPr>
            </w:pPr>
            <w:r>
              <w:rPr>
                <w:rFonts w:ascii="Arial" w:cs="Arial" w:eastAsia="Arial" w:hAnsi="Arial"/>
                <w:sz w:val="12"/>
                <w:szCs w:val="12"/>
                <w:b w:val="1"/>
                <w:bCs w:val="1"/>
                <w:color w:val="auto"/>
              </w:rPr>
              <w:t>—</w:t>
            </w:r>
          </w:p>
        </w:tc>
        <w:tc>
          <w:tcPr>
            <w:tcW w:w="600" w:type="dxa"/>
            <w:vAlign w:val="bottom"/>
          </w:tcPr>
          <w:p>
            <w:pPr>
              <w:jc w:val="right"/>
              <w:ind w:right="18"/>
              <w:spacing w:after="0"/>
              <w:rPr>
                <w:sz w:val="20"/>
                <w:szCs w:val="20"/>
                <w:color w:val="auto"/>
              </w:rPr>
            </w:pPr>
            <w:r>
              <w:rPr>
                <w:rFonts w:ascii="Arial" w:cs="Arial" w:eastAsia="Arial" w:hAnsi="Arial"/>
                <w:sz w:val="12"/>
                <w:szCs w:val="12"/>
                <w:b w:val="1"/>
                <w:bCs w:val="1"/>
                <w:color w:val="auto"/>
              </w:rPr>
              <w:t>—</w:t>
            </w:r>
          </w:p>
        </w:tc>
        <w:tc>
          <w:tcPr>
            <w:tcW w:w="1060" w:type="dxa"/>
            <w:vAlign w:val="bottom"/>
          </w:tcPr>
          <w:p>
            <w:pPr>
              <w:jc w:val="right"/>
              <w:ind w:right="98"/>
              <w:spacing w:after="0"/>
              <w:rPr>
                <w:sz w:val="20"/>
                <w:szCs w:val="20"/>
                <w:color w:val="auto"/>
              </w:rPr>
            </w:pPr>
            <w:r>
              <w:rPr>
                <w:rFonts w:ascii="Arial" w:cs="Arial" w:eastAsia="Arial" w:hAnsi="Arial"/>
                <w:sz w:val="12"/>
                <w:szCs w:val="12"/>
                <w:b w:val="1"/>
                <w:bCs w:val="1"/>
                <w:color w:val="auto"/>
              </w:rPr>
              <w:t>(10)</w:t>
            </w:r>
          </w:p>
        </w:tc>
        <w:tc>
          <w:tcPr>
            <w:tcW w:w="1100" w:type="dxa"/>
            <w:vAlign w:val="bottom"/>
          </w:tcPr>
          <w:p>
            <w:pPr>
              <w:jc w:val="right"/>
              <w:ind w:right="198"/>
              <w:spacing w:after="0"/>
              <w:rPr>
                <w:sz w:val="20"/>
                <w:szCs w:val="20"/>
                <w:color w:val="auto"/>
              </w:rPr>
            </w:pPr>
            <w:r>
              <w:rPr>
                <w:rFonts w:ascii="Arial" w:cs="Arial" w:eastAsia="Arial" w:hAnsi="Arial"/>
                <w:sz w:val="12"/>
                <w:szCs w:val="12"/>
                <w:b w:val="1"/>
                <w:bCs w:val="1"/>
                <w:color w:val="auto"/>
              </w:rPr>
              <w:t>(161)</w:t>
            </w:r>
          </w:p>
        </w:tc>
        <w:tc>
          <w:tcPr>
            <w:tcW w:w="820" w:type="dxa"/>
            <w:vAlign w:val="bottom"/>
          </w:tcPr>
          <w:p>
            <w:pPr>
              <w:jc w:val="right"/>
              <w:ind w:right="18"/>
              <w:spacing w:after="0"/>
              <w:rPr>
                <w:sz w:val="20"/>
                <w:szCs w:val="20"/>
                <w:color w:val="auto"/>
              </w:rPr>
            </w:pPr>
            <w:r>
              <w:rPr>
                <w:rFonts w:ascii="Arial" w:cs="Arial" w:eastAsia="Arial" w:hAnsi="Arial"/>
                <w:sz w:val="12"/>
                <w:szCs w:val="12"/>
                <w:b w:val="1"/>
                <w:bCs w:val="1"/>
                <w:color w:val="auto"/>
              </w:rPr>
              <w:t>(9,956)</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(10,127)</w:t>
            </w:r>
          </w:p>
        </w:tc>
        <w:tc>
          <w:tcPr>
            <w:tcW w:w="0" w:type="dxa"/>
            <w:vAlign w:val="bottom"/>
          </w:tcPr>
          <w:p>
            <w:pPr>
              <w:spacing w:after="0"/>
              <w:rPr>
                <w:sz w:val="1"/>
                <w:szCs w:val="1"/>
                <w:color w:val="auto"/>
              </w:rPr>
            </w:pPr>
          </w:p>
        </w:tc>
      </w:tr>
      <w:tr>
        <w:trPr>
          <w:trHeight w:val="20"/>
        </w:trPr>
        <w:tc>
          <w:tcPr>
            <w:tcW w:w="3940" w:type="dxa"/>
            <w:vAlign w:val="bottom"/>
            <w:tcBorders>
              <w:bottom w:val="single" w:sz="8" w:color="E99D25"/>
            </w:tcBorders>
            <w:gridSpan w:val="2"/>
          </w:tcPr>
          <w:p>
            <w:pPr>
              <w:spacing w:after="0" w:line="20" w:lineRule="exact"/>
              <w:rPr>
                <w:sz w:val="1"/>
                <w:szCs w:val="1"/>
                <w:color w:val="auto"/>
              </w:rPr>
            </w:pPr>
          </w:p>
        </w:tc>
        <w:tc>
          <w:tcPr>
            <w:tcW w:w="940" w:type="dxa"/>
            <w:vAlign w:val="bottom"/>
            <w:tcBorders>
              <w:bottom w:val="single" w:sz="8" w:color="E99D25"/>
            </w:tcBorders>
          </w:tcPr>
          <w:p>
            <w:pPr>
              <w:spacing w:after="0" w:line="20" w:lineRule="exact"/>
              <w:rPr>
                <w:sz w:val="1"/>
                <w:szCs w:val="1"/>
                <w:color w:val="auto"/>
              </w:rPr>
            </w:pPr>
          </w:p>
        </w:tc>
        <w:tc>
          <w:tcPr>
            <w:tcW w:w="620" w:type="dxa"/>
            <w:vAlign w:val="bottom"/>
            <w:tcBorders>
              <w:bottom w:val="single" w:sz="8" w:color="E99D25"/>
            </w:tcBorders>
          </w:tcPr>
          <w:p>
            <w:pPr>
              <w:spacing w:after="0" w:line="20" w:lineRule="exact"/>
              <w:rPr>
                <w:sz w:val="1"/>
                <w:szCs w:val="1"/>
                <w:color w:val="auto"/>
              </w:rPr>
            </w:pPr>
          </w:p>
        </w:tc>
        <w:tc>
          <w:tcPr>
            <w:tcW w:w="1200" w:type="dxa"/>
            <w:vAlign w:val="bottom"/>
            <w:tcBorders>
              <w:bottom w:val="single" w:sz="8" w:color="E99D25"/>
            </w:tcBorders>
          </w:tcPr>
          <w:p>
            <w:pPr>
              <w:spacing w:after="0" w:line="20" w:lineRule="exact"/>
              <w:rPr>
                <w:sz w:val="1"/>
                <w:szCs w:val="1"/>
                <w:color w:val="auto"/>
              </w:rPr>
            </w:pPr>
          </w:p>
        </w:tc>
        <w:tc>
          <w:tcPr>
            <w:tcW w:w="600" w:type="dxa"/>
            <w:vAlign w:val="bottom"/>
            <w:tcBorders>
              <w:bottom w:val="single" w:sz="8" w:color="E99D25"/>
            </w:tcBorders>
          </w:tcPr>
          <w:p>
            <w:pPr>
              <w:spacing w:after="0" w:line="20" w:lineRule="exact"/>
              <w:rPr>
                <w:sz w:val="1"/>
                <w:szCs w:val="1"/>
                <w:color w:val="auto"/>
              </w:rPr>
            </w:pPr>
          </w:p>
        </w:tc>
        <w:tc>
          <w:tcPr>
            <w:tcW w:w="1060" w:type="dxa"/>
            <w:vAlign w:val="bottom"/>
            <w:tcBorders>
              <w:bottom w:val="single" w:sz="8" w:color="E99D25"/>
            </w:tcBorders>
          </w:tcPr>
          <w:p>
            <w:pPr>
              <w:spacing w:after="0" w:line="20" w:lineRule="exact"/>
              <w:rPr>
                <w:sz w:val="1"/>
                <w:szCs w:val="1"/>
                <w:color w:val="auto"/>
              </w:rPr>
            </w:pPr>
          </w:p>
        </w:tc>
        <w:tc>
          <w:tcPr>
            <w:tcW w:w="1100" w:type="dxa"/>
            <w:vAlign w:val="bottom"/>
            <w:tcBorders>
              <w:bottom w:val="single" w:sz="8" w:color="E99D25"/>
            </w:tcBorders>
          </w:tcPr>
          <w:p>
            <w:pPr>
              <w:spacing w:after="0" w:line="20" w:lineRule="exact"/>
              <w:rPr>
                <w:sz w:val="1"/>
                <w:szCs w:val="1"/>
                <w:color w:val="auto"/>
              </w:rPr>
            </w:pPr>
          </w:p>
        </w:tc>
        <w:tc>
          <w:tcPr>
            <w:tcW w:w="820" w:type="dxa"/>
            <w:vAlign w:val="bottom"/>
            <w:tcBorders>
              <w:bottom w:val="single" w:sz="8" w:color="E99D25"/>
            </w:tcBorders>
          </w:tcPr>
          <w:p>
            <w:pPr>
              <w:spacing w:after="0" w:line="20" w:lineRule="exact"/>
              <w:rPr>
                <w:sz w:val="1"/>
                <w:szCs w:val="1"/>
                <w:color w:val="auto"/>
              </w:rPr>
            </w:pPr>
          </w:p>
        </w:tc>
        <w:tc>
          <w:tcPr>
            <w:tcW w:w="940" w:type="dxa"/>
            <w:vAlign w:val="bottom"/>
            <w:tcBorders>
              <w:bottom w:val="single" w:sz="8" w:color="E99D2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394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2"/>
                <w:szCs w:val="12"/>
                <w:color w:val="3C3C3B"/>
              </w:rPr>
              <w:t>Allocation of prior period profit (loss)</w:t>
            </w:r>
          </w:p>
        </w:tc>
        <w:tc>
          <w:tcPr>
            <w:tcW w:w="940" w:type="dxa"/>
            <w:vAlign w:val="bottom"/>
            <w:tcBorders>
              <w:bottom w:val="single" w:sz="8" w:color="FDF5E7"/>
            </w:tcBorders>
            <w:shd w:val="clear" w:color="auto" w:fill="FDF5E7"/>
          </w:tcPr>
          <w:p>
            <w:pPr>
              <w:spacing w:after="0"/>
              <w:rPr>
                <w:sz w:val="14"/>
                <w:szCs w:val="14"/>
                <w:color w:val="auto"/>
              </w:rPr>
            </w:pPr>
          </w:p>
        </w:tc>
        <w:tc>
          <w:tcPr>
            <w:tcW w:w="620" w:type="dxa"/>
            <w:vAlign w:val="bottom"/>
            <w:tcBorders>
              <w:bottom w:val="single" w:sz="8" w:color="FDF5E7"/>
            </w:tcBorders>
            <w:shd w:val="clear" w:color="auto" w:fill="FDF5E7"/>
          </w:tcPr>
          <w:p>
            <w:pPr>
              <w:spacing w:after="0"/>
              <w:rPr>
                <w:sz w:val="14"/>
                <w:szCs w:val="14"/>
                <w:color w:val="auto"/>
              </w:rPr>
            </w:pPr>
          </w:p>
        </w:tc>
        <w:tc>
          <w:tcPr>
            <w:tcW w:w="1200" w:type="dxa"/>
            <w:vAlign w:val="bottom"/>
            <w:tcBorders>
              <w:bottom w:val="single" w:sz="8" w:color="FDF5E7"/>
            </w:tcBorders>
            <w:shd w:val="clear" w:color="auto" w:fill="FDF5E7"/>
          </w:tcPr>
          <w:p>
            <w:pPr>
              <w:spacing w:after="0"/>
              <w:rPr>
                <w:sz w:val="14"/>
                <w:szCs w:val="14"/>
                <w:color w:val="auto"/>
              </w:rPr>
            </w:pPr>
          </w:p>
        </w:tc>
        <w:tc>
          <w:tcPr>
            <w:tcW w:w="600" w:type="dxa"/>
            <w:vAlign w:val="bottom"/>
            <w:tcBorders>
              <w:bottom w:val="single" w:sz="8" w:color="FDF5E7"/>
            </w:tcBorders>
            <w:shd w:val="clear" w:color="auto" w:fill="FDF5E7"/>
          </w:tcPr>
          <w:p>
            <w:pPr>
              <w:spacing w:after="0"/>
              <w:rPr>
                <w:sz w:val="14"/>
                <w:szCs w:val="14"/>
                <w:color w:val="auto"/>
              </w:rPr>
            </w:pPr>
          </w:p>
        </w:tc>
        <w:tc>
          <w:tcPr>
            <w:tcW w:w="1060" w:type="dxa"/>
            <w:vAlign w:val="bottom"/>
            <w:tcBorders>
              <w:bottom w:val="single" w:sz="8" w:color="FDF5E7"/>
            </w:tcBorders>
            <w:shd w:val="clear" w:color="auto" w:fill="FDF5E7"/>
          </w:tcPr>
          <w:p>
            <w:pPr>
              <w:jc w:val="right"/>
              <w:ind w:right="98"/>
              <w:spacing w:after="0"/>
              <w:rPr>
                <w:sz w:val="20"/>
                <w:szCs w:val="20"/>
                <w:color w:val="auto"/>
              </w:rPr>
            </w:pPr>
            <w:r>
              <w:rPr>
                <w:rFonts w:ascii="Arial" w:cs="Arial" w:eastAsia="Arial" w:hAnsi="Arial"/>
                <w:sz w:val="12"/>
                <w:szCs w:val="12"/>
                <w:color w:val="auto"/>
              </w:rPr>
              <w:t>1,507</w:t>
            </w:r>
          </w:p>
        </w:tc>
        <w:tc>
          <w:tcPr>
            <w:tcW w:w="1100" w:type="dxa"/>
            <w:vAlign w:val="bottom"/>
            <w:tcBorders>
              <w:bottom w:val="single" w:sz="8" w:color="FDF5E7"/>
            </w:tcBorders>
            <w:shd w:val="clear" w:color="auto" w:fill="FDF5E7"/>
          </w:tcPr>
          <w:p>
            <w:pPr>
              <w:spacing w:after="0"/>
              <w:rPr>
                <w:sz w:val="14"/>
                <w:szCs w:val="14"/>
                <w:color w:val="auto"/>
              </w:rPr>
            </w:pPr>
          </w:p>
        </w:tc>
        <w:tc>
          <w:tcPr>
            <w:tcW w:w="820" w:type="dxa"/>
            <w:vAlign w:val="bottom"/>
            <w:tcBorders>
              <w:bottom w:val="single" w:sz="8" w:color="FDF5E7"/>
            </w:tcBorders>
            <w:shd w:val="clear" w:color="auto" w:fill="FDF5E7"/>
          </w:tcPr>
          <w:p>
            <w:pPr>
              <w:jc w:val="right"/>
              <w:ind w:right="18"/>
              <w:spacing w:after="0"/>
              <w:rPr>
                <w:sz w:val="20"/>
                <w:szCs w:val="20"/>
                <w:color w:val="auto"/>
              </w:rPr>
            </w:pPr>
            <w:r>
              <w:rPr>
                <w:rFonts w:ascii="Arial" w:cs="Arial" w:eastAsia="Arial" w:hAnsi="Arial"/>
                <w:sz w:val="12"/>
                <w:szCs w:val="12"/>
                <w:color w:val="auto"/>
              </w:rPr>
              <w:t>(1,507)</w:t>
            </w: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3940" w:type="dxa"/>
            <w:vAlign w:val="bottom"/>
            <w:gridSpan w:val="2"/>
          </w:tcPr>
          <w:p>
            <w:pPr>
              <w:ind w:left="20"/>
              <w:spacing w:after="0"/>
              <w:rPr>
                <w:sz w:val="20"/>
                <w:szCs w:val="20"/>
                <w:color w:val="auto"/>
              </w:rPr>
            </w:pPr>
            <w:r>
              <w:rPr>
                <w:rFonts w:ascii="Arial" w:cs="Arial" w:eastAsia="Arial" w:hAnsi="Arial"/>
                <w:sz w:val="12"/>
                <w:szCs w:val="12"/>
                <w:color w:val="3C3C3B"/>
              </w:rPr>
              <w:t>Capital increase</w:t>
            </w:r>
          </w:p>
        </w:tc>
        <w:tc>
          <w:tcPr>
            <w:tcW w:w="940" w:type="dxa"/>
            <w:vAlign w:val="bottom"/>
          </w:tcPr>
          <w:p>
            <w:pPr>
              <w:jc w:val="right"/>
              <w:ind w:right="138"/>
              <w:spacing w:after="0"/>
              <w:rPr>
                <w:sz w:val="20"/>
                <w:szCs w:val="20"/>
                <w:color w:val="auto"/>
              </w:rPr>
            </w:pPr>
            <w:r>
              <w:rPr>
                <w:rFonts w:ascii="Arial" w:cs="Arial" w:eastAsia="Arial" w:hAnsi="Arial"/>
                <w:sz w:val="12"/>
                <w:szCs w:val="12"/>
                <w:color w:val="auto"/>
              </w:rPr>
              <w:t>6,375</w:t>
            </w:r>
          </w:p>
        </w:tc>
        <w:tc>
          <w:tcPr>
            <w:tcW w:w="620" w:type="dxa"/>
            <w:vAlign w:val="bottom"/>
          </w:tcPr>
          <w:p>
            <w:pPr>
              <w:jc w:val="right"/>
              <w:spacing w:after="0"/>
              <w:rPr>
                <w:sz w:val="20"/>
                <w:szCs w:val="20"/>
                <w:color w:val="auto"/>
              </w:rPr>
            </w:pPr>
            <w:r>
              <w:rPr>
                <w:rFonts w:ascii="Arial" w:cs="Arial" w:eastAsia="Arial" w:hAnsi="Arial"/>
                <w:sz w:val="12"/>
                <w:szCs w:val="12"/>
                <w:color w:val="auto"/>
              </w:rPr>
              <w:t>2</w:t>
            </w:r>
          </w:p>
        </w:tc>
        <w:tc>
          <w:tcPr>
            <w:tcW w:w="1200" w:type="dxa"/>
            <w:vAlign w:val="bottom"/>
          </w:tcPr>
          <w:p>
            <w:pPr>
              <w:jc w:val="right"/>
              <w:ind w:right="298"/>
              <w:spacing w:after="0"/>
              <w:rPr>
                <w:sz w:val="20"/>
                <w:szCs w:val="20"/>
                <w:color w:val="auto"/>
              </w:rPr>
            </w:pPr>
            <w:r>
              <w:rPr>
                <w:rFonts w:ascii="Arial" w:cs="Arial" w:eastAsia="Arial" w:hAnsi="Arial"/>
                <w:sz w:val="12"/>
                <w:szCs w:val="12"/>
                <w:color w:val="auto"/>
              </w:rPr>
              <w:t>15</w:t>
            </w:r>
          </w:p>
        </w:tc>
        <w:tc>
          <w:tcPr>
            <w:tcW w:w="600" w:type="dxa"/>
            <w:vAlign w:val="bottom"/>
          </w:tcPr>
          <w:p>
            <w:pPr>
              <w:spacing w:after="0"/>
              <w:rPr>
                <w:sz w:val="15"/>
                <w:szCs w:val="15"/>
                <w:color w:val="auto"/>
              </w:rPr>
            </w:pPr>
          </w:p>
        </w:tc>
        <w:tc>
          <w:tcPr>
            <w:tcW w:w="106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26"/>
        </w:trPr>
        <w:tc>
          <w:tcPr>
            <w:tcW w:w="39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94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2"/>
                <w:szCs w:val="12"/>
                <w:color w:val="3C3C3B"/>
              </w:rPr>
              <w:t>Equity component of OCEANE net of deferred taxes</w:t>
            </w:r>
          </w:p>
        </w:tc>
        <w:tc>
          <w:tcPr>
            <w:tcW w:w="940" w:type="dxa"/>
            <w:vAlign w:val="bottom"/>
            <w:tcBorders>
              <w:bottom w:val="single" w:sz="8" w:color="FDF5E7"/>
            </w:tcBorders>
            <w:shd w:val="clear" w:color="auto" w:fill="FDF5E7"/>
          </w:tcPr>
          <w:p>
            <w:pPr>
              <w:spacing w:after="0"/>
              <w:rPr>
                <w:sz w:val="15"/>
                <w:szCs w:val="15"/>
                <w:color w:val="auto"/>
              </w:rPr>
            </w:pPr>
          </w:p>
        </w:tc>
        <w:tc>
          <w:tcPr>
            <w:tcW w:w="620" w:type="dxa"/>
            <w:vAlign w:val="bottom"/>
            <w:tcBorders>
              <w:bottom w:val="single" w:sz="8" w:color="FDF5E7"/>
            </w:tcBorders>
            <w:shd w:val="clear" w:color="auto" w:fill="FDF5E7"/>
          </w:tcPr>
          <w:p>
            <w:pPr>
              <w:spacing w:after="0"/>
              <w:rPr>
                <w:sz w:val="15"/>
                <w:szCs w:val="15"/>
                <w:color w:val="auto"/>
              </w:rPr>
            </w:pPr>
          </w:p>
        </w:tc>
        <w:tc>
          <w:tcPr>
            <w:tcW w:w="1200" w:type="dxa"/>
            <w:vAlign w:val="bottom"/>
            <w:tcBorders>
              <w:bottom w:val="single" w:sz="8" w:color="FDF5E7"/>
            </w:tcBorders>
            <w:shd w:val="clear" w:color="auto" w:fill="FDF5E7"/>
          </w:tcPr>
          <w:p>
            <w:pPr>
              <w:jc w:val="right"/>
              <w:ind w:right="298"/>
              <w:spacing w:after="0"/>
              <w:rPr>
                <w:sz w:val="20"/>
                <w:szCs w:val="20"/>
                <w:color w:val="auto"/>
              </w:rPr>
            </w:pPr>
            <w:r>
              <w:rPr>
                <w:rFonts w:ascii="Arial" w:cs="Arial" w:eastAsia="Arial" w:hAnsi="Arial"/>
                <w:sz w:val="12"/>
                <w:szCs w:val="12"/>
                <w:color w:val="auto"/>
              </w:rPr>
              <w:t>(6,929)</w:t>
            </w:r>
          </w:p>
        </w:tc>
        <w:tc>
          <w:tcPr>
            <w:tcW w:w="600" w:type="dxa"/>
            <w:vAlign w:val="bottom"/>
            <w:tcBorders>
              <w:bottom w:val="single" w:sz="8" w:color="FDF5E7"/>
            </w:tcBorders>
            <w:shd w:val="clear" w:color="auto" w:fill="FDF5E7"/>
          </w:tcPr>
          <w:p>
            <w:pPr>
              <w:spacing w:after="0"/>
              <w:rPr>
                <w:sz w:val="15"/>
                <w:szCs w:val="15"/>
                <w:color w:val="auto"/>
              </w:rPr>
            </w:pPr>
          </w:p>
        </w:tc>
        <w:tc>
          <w:tcPr>
            <w:tcW w:w="1060" w:type="dxa"/>
            <w:vAlign w:val="bottom"/>
            <w:tcBorders>
              <w:bottom w:val="single" w:sz="8" w:color="FDF5E7"/>
            </w:tcBorders>
            <w:shd w:val="clear" w:color="auto" w:fill="FDF5E7"/>
          </w:tcPr>
          <w:p>
            <w:pPr>
              <w:spacing w:after="0"/>
              <w:rPr>
                <w:sz w:val="15"/>
                <w:szCs w:val="15"/>
                <w:color w:val="auto"/>
              </w:rPr>
            </w:pPr>
          </w:p>
        </w:tc>
        <w:tc>
          <w:tcPr>
            <w:tcW w:w="1100" w:type="dxa"/>
            <w:vAlign w:val="bottom"/>
            <w:tcBorders>
              <w:bottom w:val="single" w:sz="8" w:color="FDF5E7"/>
            </w:tcBorders>
            <w:shd w:val="clear" w:color="auto" w:fill="FDF5E7"/>
          </w:tcPr>
          <w:p>
            <w:pPr>
              <w:spacing w:after="0"/>
              <w:rPr>
                <w:sz w:val="15"/>
                <w:szCs w:val="15"/>
                <w:color w:val="auto"/>
              </w:rPr>
            </w:pPr>
          </w:p>
        </w:tc>
        <w:tc>
          <w:tcPr>
            <w:tcW w:w="820" w:type="dxa"/>
            <w:vAlign w:val="bottom"/>
            <w:tcBorders>
              <w:bottom w:val="single" w:sz="8" w:color="FDF5E7"/>
            </w:tcBorders>
            <w:shd w:val="clear" w:color="auto" w:fill="FDF5E7"/>
          </w:tcPr>
          <w:p>
            <w:pPr>
              <w:spacing w:after="0"/>
              <w:rPr>
                <w:sz w:val="15"/>
                <w:szCs w:val="15"/>
                <w:color w:val="auto"/>
              </w:rPr>
            </w:pP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(6,929)</w:t>
            </w:r>
          </w:p>
        </w:tc>
        <w:tc>
          <w:tcPr>
            <w:tcW w:w="0" w:type="dxa"/>
            <w:vAlign w:val="bottom"/>
          </w:tcPr>
          <w:p>
            <w:pPr>
              <w:spacing w:after="0"/>
              <w:rPr>
                <w:sz w:val="1"/>
                <w:szCs w:val="1"/>
                <w:color w:val="auto"/>
              </w:rPr>
            </w:pPr>
          </w:p>
        </w:tc>
      </w:tr>
      <w:tr>
        <w:trPr>
          <w:trHeight w:val="173"/>
        </w:trPr>
        <w:tc>
          <w:tcPr>
            <w:tcW w:w="3940" w:type="dxa"/>
            <w:vAlign w:val="bottom"/>
            <w:gridSpan w:val="2"/>
          </w:tcPr>
          <w:p>
            <w:pPr>
              <w:ind w:left="20"/>
              <w:spacing w:after="0"/>
              <w:rPr>
                <w:sz w:val="20"/>
                <w:szCs w:val="20"/>
                <w:color w:val="auto"/>
              </w:rPr>
            </w:pPr>
            <w:r>
              <w:rPr>
                <w:rFonts w:ascii="Arial" w:cs="Arial" w:eastAsia="Arial" w:hAnsi="Arial"/>
                <w:sz w:val="12"/>
                <w:szCs w:val="12"/>
                <w:color w:val="3C3C3B"/>
              </w:rPr>
              <w:t>Share-based compensation</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jc w:val="right"/>
              <w:ind w:right="298"/>
              <w:spacing w:after="0"/>
              <w:rPr>
                <w:sz w:val="20"/>
                <w:szCs w:val="20"/>
                <w:color w:val="auto"/>
              </w:rPr>
            </w:pPr>
            <w:r>
              <w:rPr>
                <w:rFonts w:ascii="Arial" w:cs="Arial" w:eastAsia="Arial" w:hAnsi="Arial"/>
                <w:sz w:val="12"/>
                <w:szCs w:val="12"/>
                <w:color w:val="auto"/>
              </w:rPr>
              <w:t>242</w:t>
            </w: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26"/>
        </w:trPr>
        <w:tc>
          <w:tcPr>
            <w:tcW w:w="39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940" w:type="dxa"/>
            <w:vAlign w:val="bottom"/>
            <w:tcBorders>
              <w:bottom w:val="single" w:sz="8" w:color="FDF5E7"/>
            </w:tcBorders>
            <w:gridSpan w:val="2"/>
            <w:shd w:val="clear" w:color="auto" w:fill="FDF5E7"/>
          </w:tcPr>
          <w:p>
            <w:pPr>
              <w:ind w:left="20"/>
              <w:spacing w:after="0"/>
              <w:rPr>
                <w:sz w:val="20"/>
                <w:szCs w:val="20"/>
                <w:color w:val="auto"/>
              </w:rPr>
            </w:pPr>
            <w:r>
              <w:rPr>
                <w:rFonts w:ascii="Arial" w:cs="Arial" w:eastAsia="Arial" w:hAnsi="Arial"/>
                <w:sz w:val="12"/>
                <w:szCs w:val="12"/>
                <w:color w:val="3C3C3B"/>
              </w:rPr>
              <w:t>Treasury shares</w:t>
            </w:r>
          </w:p>
        </w:tc>
        <w:tc>
          <w:tcPr>
            <w:tcW w:w="940" w:type="dxa"/>
            <w:vAlign w:val="bottom"/>
            <w:tcBorders>
              <w:bottom w:val="single" w:sz="8" w:color="FDF5E7"/>
            </w:tcBorders>
            <w:shd w:val="clear" w:color="auto" w:fill="FDF5E7"/>
          </w:tcPr>
          <w:p>
            <w:pPr>
              <w:spacing w:after="0"/>
              <w:rPr>
                <w:sz w:val="17"/>
                <w:szCs w:val="17"/>
                <w:color w:val="auto"/>
              </w:rPr>
            </w:pPr>
          </w:p>
        </w:tc>
        <w:tc>
          <w:tcPr>
            <w:tcW w:w="620" w:type="dxa"/>
            <w:vAlign w:val="bottom"/>
            <w:tcBorders>
              <w:bottom w:val="single" w:sz="8" w:color="FDF5E7"/>
            </w:tcBorders>
            <w:shd w:val="clear" w:color="auto" w:fill="FDF5E7"/>
          </w:tcPr>
          <w:p>
            <w:pPr>
              <w:spacing w:after="0"/>
              <w:rPr>
                <w:sz w:val="17"/>
                <w:szCs w:val="17"/>
                <w:color w:val="auto"/>
              </w:rPr>
            </w:pPr>
          </w:p>
        </w:tc>
        <w:tc>
          <w:tcPr>
            <w:tcW w:w="1200" w:type="dxa"/>
            <w:vAlign w:val="bottom"/>
            <w:tcBorders>
              <w:bottom w:val="single" w:sz="8" w:color="FDF5E7"/>
            </w:tcBorders>
            <w:shd w:val="clear" w:color="auto" w:fill="FDF5E7"/>
          </w:tcPr>
          <w:p>
            <w:pPr>
              <w:spacing w:after="0"/>
              <w:rPr>
                <w:sz w:val="17"/>
                <w:szCs w:val="17"/>
                <w:color w:val="auto"/>
              </w:rPr>
            </w:pPr>
          </w:p>
        </w:tc>
        <w:tc>
          <w:tcPr>
            <w:tcW w:w="600" w:type="dxa"/>
            <w:vAlign w:val="bottom"/>
            <w:tcBorders>
              <w:bottom w:val="single" w:sz="8" w:color="FDF5E7"/>
            </w:tcBorders>
            <w:shd w:val="clear" w:color="auto" w:fill="FDF5E7"/>
          </w:tcPr>
          <w:p>
            <w:pPr>
              <w:jc w:val="right"/>
              <w:ind w:right="18"/>
              <w:spacing w:after="0"/>
              <w:rPr>
                <w:sz w:val="20"/>
                <w:szCs w:val="20"/>
                <w:color w:val="auto"/>
              </w:rPr>
            </w:pPr>
            <w:r>
              <w:rPr>
                <w:rFonts w:ascii="Arial" w:cs="Arial" w:eastAsia="Arial" w:hAnsi="Arial"/>
                <w:sz w:val="12"/>
                <w:szCs w:val="12"/>
                <w:color w:val="auto"/>
              </w:rPr>
              <w:t>44</w:t>
            </w:r>
          </w:p>
        </w:tc>
        <w:tc>
          <w:tcPr>
            <w:tcW w:w="1060" w:type="dxa"/>
            <w:vAlign w:val="bottom"/>
            <w:tcBorders>
              <w:bottom w:val="single" w:sz="8" w:color="FDF5E7"/>
            </w:tcBorders>
            <w:shd w:val="clear" w:color="auto" w:fill="FDF5E7"/>
          </w:tcPr>
          <w:p>
            <w:pPr>
              <w:spacing w:after="0"/>
              <w:rPr>
                <w:sz w:val="17"/>
                <w:szCs w:val="17"/>
                <w:color w:val="auto"/>
              </w:rPr>
            </w:pPr>
          </w:p>
        </w:tc>
        <w:tc>
          <w:tcPr>
            <w:tcW w:w="1100" w:type="dxa"/>
            <w:vAlign w:val="bottom"/>
            <w:tcBorders>
              <w:bottom w:val="single" w:sz="8" w:color="FDF5E7"/>
            </w:tcBorders>
            <w:shd w:val="clear" w:color="auto" w:fill="FDF5E7"/>
          </w:tcPr>
          <w:p>
            <w:pPr>
              <w:spacing w:after="0"/>
              <w:rPr>
                <w:sz w:val="17"/>
                <w:szCs w:val="17"/>
                <w:color w:val="auto"/>
              </w:rPr>
            </w:pPr>
          </w:p>
        </w:tc>
        <w:tc>
          <w:tcPr>
            <w:tcW w:w="820" w:type="dxa"/>
            <w:vAlign w:val="bottom"/>
            <w:tcBorders>
              <w:bottom w:val="single" w:sz="8" w:color="FDF5E7"/>
            </w:tcBorders>
            <w:shd w:val="clear" w:color="auto" w:fill="FDF5E7"/>
          </w:tcPr>
          <w:p>
            <w:pPr>
              <w:spacing w:after="0"/>
              <w:rPr>
                <w:sz w:val="17"/>
                <w:szCs w:val="17"/>
                <w:color w:val="auto"/>
              </w:rPr>
            </w:pP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72"/>
        </w:trPr>
        <w:tc>
          <w:tcPr>
            <w:tcW w:w="3940" w:type="dxa"/>
            <w:vAlign w:val="bottom"/>
            <w:tcBorders>
              <w:top w:val="single" w:sz="8" w:color="242424"/>
            </w:tcBorders>
            <w:gridSpan w:val="2"/>
          </w:tcPr>
          <w:p>
            <w:pPr>
              <w:ind w:left="20"/>
              <w:spacing w:after="0"/>
              <w:rPr>
                <w:sz w:val="20"/>
                <w:szCs w:val="20"/>
                <w:color w:val="auto"/>
              </w:rPr>
            </w:pPr>
            <w:r>
              <w:rPr>
                <w:rFonts w:ascii="Arial" w:cs="Arial" w:eastAsia="Arial" w:hAnsi="Arial"/>
                <w:sz w:val="12"/>
                <w:szCs w:val="12"/>
                <w:b w:val="1"/>
                <w:bCs w:val="1"/>
                <w:color w:val="E99D25"/>
              </w:rPr>
              <w:t>As of June 30, 2025</w:t>
            </w:r>
          </w:p>
        </w:tc>
        <w:tc>
          <w:tcPr>
            <w:tcW w:w="940" w:type="dxa"/>
            <w:vAlign w:val="bottom"/>
            <w:tcBorders>
              <w:top w:val="single" w:sz="8" w:color="242424"/>
            </w:tcBorders>
          </w:tcPr>
          <w:p>
            <w:pPr>
              <w:jc w:val="right"/>
              <w:ind w:right="138"/>
              <w:spacing w:after="0"/>
              <w:rPr>
                <w:sz w:val="20"/>
                <w:szCs w:val="20"/>
                <w:color w:val="auto"/>
              </w:rPr>
            </w:pPr>
            <w:r>
              <w:rPr>
                <w:rFonts w:ascii="Arial" w:cs="Arial" w:eastAsia="Arial" w:hAnsi="Arial"/>
                <w:sz w:val="12"/>
                <w:szCs w:val="12"/>
                <w:b w:val="1"/>
                <w:bCs w:val="1"/>
                <w:color w:val="E99D25"/>
              </w:rPr>
              <w:t>50,002,560</w:t>
            </w:r>
          </w:p>
        </w:tc>
        <w:tc>
          <w:tcPr>
            <w:tcW w:w="620" w:type="dxa"/>
            <w:vAlign w:val="bottom"/>
            <w:tcBorders>
              <w:top w:val="single" w:sz="8" w:color="242424"/>
            </w:tcBorders>
          </w:tcPr>
          <w:p>
            <w:pPr>
              <w:jc w:val="right"/>
              <w:spacing w:after="0"/>
              <w:rPr>
                <w:sz w:val="20"/>
                <w:szCs w:val="20"/>
                <w:color w:val="auto"/>
              </w:rPr>
            </w:pPr>
            <w:r>
              <w:rPr>
                <w:rFonts w:ascii="Arial" w:cs="Arial" w:eastAsia="Arial" w:hAnsi="Arial"/>
                <w:sz w:val="12"/>
                <w:szCs w:val="12"/>
                <w:b w:val="1"/>
                <w:bCs w:val="1"/>
                <w:color w:val="E99D25"/>
              </w:rPr>
              <w:t>12,501</w:t>
            </w:r>
          </w:p>
        </w:tc>
        <w:tc>
          <w:tcPr>
            <w:tcW w:w="1200" w:type="dxa"/>
            <w:vAlign w:val="bottom"/>
            <w:tcBorders>
              <w:top w:val="single" w:sz="8" w:color="242424"/>
            </w:tcBorders>
          </w:tcPr>
          <w:p>
            <w:pPr>
              <w:jc w:val="right"/>
              <w:ind w:right="298"/>
              <w:spacing w:after="0"/>
              <w:rPr>
                <w:sz w:val="20"/>
                <w:szCs w:val="20"/>
                <w:color w:val="auto"/>
              </w:rPr>
            </w:pPr>
            <w:r>
              <w:rPr>
                <w:rFonts w:ascii="Arial" w:cs="Arial" w:eastAsia="Arial" w:hAnsi="Arial"/>
                <w:sz w:val="12"/>
                <w:szCs w:val="12"/>
                <w:b w:val="1"/>
                <w:bCs w:val="1"/>
                <w:color w:val="E99D25"/>
              </w:rPr>
              <w:t>440,277</w:t>
            </w:r>
          </w:p>
        </w:tc>
        <w:tc>
          <w:tcPr>
            <w:tcW w:w="600" w:type="dxa"/>
            <w:vAlign w:val="bottom"/>
            <w:tcBorders>
              <w:top w:val="single" w:sz="8" w:color="242424"/>
            </w:tcBorders>
          </w:tcPr>
          <w:p>
            <w:pPr>
              <w:jc w:val="right"/>
              <w:ind w:right="18"/>
              <w:spacing w:after="0"/>
              <w:rPr>
                <w:sz w:val="20"/>
                <w:szCs w:val="20"/>
                <w:color w:val="auto"/>
              </w:rPr>
            </w:pPr>
            <w:r>
              <w:rPr>
                <w:rFonts w:ascii="Arial" w:cs="Arial" w:eastAsia="Arial" w:hAnsi="Arial"/>
                <w:sz w:val="12"/>
                <w:szCs w:val="12"/>
                <w:b w:val="1"/>
                <w:bCs w:val="1"/>
                <w:color w:val="E99D25"/>
              </w:rPr>
              <w:t>(1,102)</w:t>
            </w:r>
          </w:p>
        </w:tc>
        <w:tc>
          <w:tcPr>
            <w:tcW w:w="1060" w:type="dxa"/>
            <w:vAlign w:val="bottom"/>
            <w:tcBorders>
              <w:top w:val="single" w:sz="8" w:color="242424"/>
            </w:tcBorders>
          </w:tcPr>
          <w:p>
            <w:pPr>
              <w:jc w:val="right"/>
              <w:ind w:right="98"/>
              <w:spacing w:after="0"/>
              <w:rPr>
                <w:sz w:val="20"/>
                <w:szCs w:val="20"/>
                <w:color w:val="auto"/>
              </w:rPr>
            </w:pPr>
            <w:r>
              <w:rPr>
                <w:rFonts w:ascii="Arial" w:cs="Arial" w:eastAsia="Arial" w:hAnsi="Arial"/>
                <w:sz w:val="12"/>
                <w:szCs w:val="12"/>
                <w:b w:val="1"/>
                <w:bCs w:val="1"/>
                <w:color w:val="E99D25"/>
              </w:rPr>
              <w:t>(389,433)</w:t>
            </w:r>
          </w:p>
        </w:tc>
        <w:tc>
          <w:tcPr>
            <w:tcW w:w="1100" w:type="dxa"/>
            <w:vAlign w:val="bottom"/>
            <w:tcBorders>
              <w:top w:val="single" w:sz="8" w:color="242424"/>
            </w:tcBorders>
          </w:tcPr>
          <w:p>
            <w:pPr>
              <w:jc w:val="right"/>
              <w:ind w:right="198"/>
              <w:spacing w:after="0"/>
              <w:rPr>
                <w:sz w:val="20"/>
                <w:szCs w:val="20"/>
                <w:color w:val="auto"/>
              </w:rPr>
            </w:pPr>
            <w:r>
              <w:rPr>
                <w:rFonts w:ascii="Arial" w:cs="Arial" w:eastAsia="Arial" w:hAnsi="Arial"/>
                <w:sz w:val="12"/>
                <w:szCs w:val="12"/>
                <w:b w:val="1"/>
                <w:bCs w:val="1"/>
                <w:color w:val="E99D25"/>
              </w:rPr>
              <w:t>186</w:t>
            </w:r>
          </w:p>
        </w:tc>
        <w:tc>
          <w:tcPr>
            <w:tcW w:w="820" w:type="dxa"/>
            <w:vAlign w:val="bottom"/>
            <w:tcBorders>
              <w:top w:val="single" w:sz="8" w:color="242424"/>
            </w:tcBorders>
          </w:tcPr>
          <w:p>
            <w:pPr>
              <w:jc w:val="right"/>
              <w:ind w:right="18"/>
              <w:spacing w:after="0"/>
              <w:rPr>
                <w:sz w:val="20"/>
                <w:szCs w:val="20"/>
                <w:color w:val="auto"/>
              </w:rPr>
            </w:pPr>
            <w:r>
              <w:rPr>
                <w:rFonts w:ascii="Arial" w:cs="Arial" w:eastAsia="Arial" w:hAnsi="Arial"/>
                <w:sz w:val="12"/>
                <w:szCs w:val="12"/>
                <w:b w:val="1"/>
                <w:bCs w:val="1"/>
                <w:color w:val="E99D25"/>
              </w:rPr>
              <w:t>(9,956)</w:t>
            </w:r>
          </w:p>
        </w:tc>
        <w:tc>
          <w:tcPr>
            <w:tcW w:w="940" w:type="dxa"/>
            <w:vAlign w:val="bottom"/>
            <w:tcBorders>
              <w:top w:val="single" w:sz="8" w:color="242424"/>
            </w:tcBorders>
          </w:tcPr>
          <w:p>
            <w:pPr>
              <w:jc w:val="right"/>
              <w:spacing w:after="0"/>
              <w:rPr>
                <w:sz w:val="20"/>
                <w:szCs w:val="20"/>
                <w:color w:val="auto"/>
              </w:rPr>
            </w:pPr>
            <w:r>
              <w:rPr>
                <w:rFonts w:ascii="Arial" w:cs="Arial" w:eastAsia="Arial" w:hAnsi="Arial"/>
                <w:sz w:val="12"/>
                <w:szCs w:val="12"/>
                <w:b w:val="1"/>
                <w:bCs w:val="1"/>
                <w:color w:val="E99D25"/>
              </w:rPr>
              <w:t>52,472</w:t>
            </w:r>
          </w:p>
        </w:tc>
        <w:tc>
          <w:tcPr>
            <w:tcW w:w="0" w:type="dxa"/>
            <w:vAlign w:val="bottom"/>
          </w:tcPr>
          <w:p>
            <w:pPr>
              <w:spacing w:after="0"/>
              <w:rPr>
                <w:sz w:val="1"/>
                <w:szCs w:val="1"/>
                <w:color w:val="auto"/>
              </w:rPr>
            </w:pPr>
          </w:p>
        </w:tc>
      </w:tr>
      <w:tr>
        <w:trPr>
          <w:trHeight w:val="20"/>
        </w:trPr>
        <w:tc>
          <w:tcPr>
            <w:tcW w:w="680" w:type="dxa"/>
            <w:vAlign w:val="bottom"/>
            <w:tcBorders>
              <w:bottom w:val="single" w:sz="8" w:color="242424"/>
            </w:tcBorders>
          </w:tcPr>
          <w:p>
            <w:pPr>
              <w:spacing w:after="0" w:line="20" w:lineRule="exact"/>
              <w:rPr>
                <w:sz w:val="1"/>
                <w:szCs w:val="1"/>
                <w:color w:val="auto"/>
              </w:rPr>
            </w:pPr>
          </w:p>
        </w:tc>
        <w:tc>
          <w:tcPr>
            <w:tcW w:w="3260" w:type="dxa"/>
            <w:vAlign w:val="bottom"/>
            <w:tcBorders>
              <w:bottom w:val="single" w:sz="8" w:color="242424"/>
            </w:tcBorders>
          </w:tcPr>
          <w:p>
            <w:pPr>
              <w:spacing w:after="0" w:line="20" w:lineRule="exact"/>
              <w:rPr>
                <w:sz w:val="1"/>
                <w:szCs w:val="1"/>
                <w:color w:val="auto"/>
              </w:rPr>
            </w:pPr>
          </w:p>
        </w:tc>
        <w:tc>
          <w:tcPr>
            <w:tcW w:w="940" w:type="dxa"/>
            <w:vAlign w:val="bottom"/>
            <w:tcBorders>
              <w:bottom w:val="single" w:sz="8" w:color="242424"/>
            </w:tcBorders>
          </w:tcPr>
          <w:p>
            <w:pPr>
              <w:spacing w:after="0" w:line="20" w:lineRule="exact"/>
              <w:rPr>
                <w:sz w:val="1"/>
                <w:szCs w:val="1"/>
                <w:color w:val="auto"/>
              </w:rPr>
            </w:pPr>
          </w:p>
        </w:tc>
        <w:tc>
          <w:tcPr>
            <w:tcW w:w="620" w:type="dxa"/>
            <w:vAlign w:val="bottom"/>
            <w:tcBorders>
              <w:bottom w:val="single" w:sz="8" w:color="242424"/>
            </w:tcBorders>
          </w:tcPr>
          <w:p>
            <w:pPr>
              <w:spacing w:after="0" w:line="20" w:lineRule="exact"/>
              <w:rPr>
                <w:sz w:val="1"/>
                <w:szCs w:val="1"/>
                <w:color w:val="auto"/>
              </w:rPr>
            </w:pPr>
          </w:p>
        </w:tc>
        <w:tc>
          <w:tcPr>
            <w:tcW w:w="1200" w:type="dxa"/>
            <w:vAlign w:val="bottom"/>
            <w:tcBorders>
              <w:bottom w:val="single" w:sz="8" w:color="242424"/>
            </w:tcBorders>
          </w:tcPr>
          <w:p>
            <w:pPr>
              <w:spacing w:after="0" w:line="20" w:lineRule="exact"/>
              <w:rPr>
                <w:sz w:val="1"/>
                <w:szCs w:val="1"/>
                <w:color w:val="auto"/>
              </w:rPr>
            </w:pPr>
          </w:p>
        </w:tc>
        <w:tc>
          <w:tcPr>
            <w:tcW w:w="600" w:type="dxa"/>
            <w:vAlign w:val="bottom"/>
            <w:tcBorders>
              <w:bottom w:val="single" w:sz="8" w:color="242424"/>
            </w:tcBorders>
          </w:tcPr>
          <w:p>
            <w:pPr>
              <w:spacing w:after="0" w:line="20" w:lineRule="exact"/>
              <w:rPr>
                <w:sz w:val="1"/>
                <w:szCs w:val="1"/>
                <w:color w:val="auto"/>
              </w:rPr>
            </w:pPr>
          </w:p>
        </w:tc>
        <w:tc>
          <w:tcPr>
            <w:tcW w:w="1060" w:type="dxa"/>
            <w:vAlign w:val="bottom"/>
            <w:tcBorders>
              <w:bottom w:val="single" w:sz="8" w:color="242424"/>
            </w:tcBorders>
          </w:tcPr>
          <w:p>
            <w:pPr>
              <w:spacing w:after="0" w:line="20" w:lineRule="exact"/>
              <w:rPr>
                <w:sz w:val="1"/>
                <w:szCs w:val="1"/>
                <w:color w:val="auto"/>
              </w:rPr>
            </w:pPr>
          </w:p>
        </w:tc>
        <w:tc>
          <w:tcPr>
            <w:tcW w:w="1100" w:type="dxa"/>
            <w:vAlign w:val="bottom"/>
            <w:tcBorders>
              <w:bottom w:val="single" w:sz="8" w:color="242424"/>
            </w:tcBorders>
          </w:tcPr>
          <w:p>
            <w:pPr>
              <w:spacing w:after="0" w:line="20" w:lineRule="exact"/>
              <w:rPr>
                <w:sz w:val="1"/>
                <w:szCs w:val="1"/>
                <w:color w:val="auto"/>
              </w:rPr>
            </w:pPr>
          </w:p>
        </w:tc>
        <w:tc>
          <w:tcPr>
            <w:tcW w:w="820" w:type="dxa"/>
            <w:vAlign w:val="bottom"/>
            <w:tcBorders>
              <w:bottom w:val="single" w:sz="8" w:color="242424"/>
            </w:tcBorders>
          </w:tcPr>
          <w:p>
            <w:pPr>
              <w:spacing w:after="0" w:line="20" w:lineRule="exact"/>
              <w:rPr>
                <w:sz w:val="1"/>
                <w:szCs w:val="1"/>
                <w:color w:val="auto"/>
              </w:rPr>
            </w:pPr>
          </w:p>
        </w:tc>
        <w:tc>
          <w:tcPr>
            <w:tcW w:w="940" w:type="dxa"/>
            <w:vAlign w:val="bottom"/>
            <w:tcBorders>
              <w:bottom w:val="single" w:sz="8" w:color="242424"/>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6532880</wp:posOffset>
            </wp:positionH>
            <wp:positionV relativeFrom="paragraph">
              <wp:posOffset>-133985</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-116840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-100330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-83820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-66675</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-50165</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-33020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-15875</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-133985</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-116840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-100330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-83820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-66675</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-50165</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-33020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-15875</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-252095</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-234950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-218440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-201295</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-184150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-167640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-150495</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-252095</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-234950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-218440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-201295</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-184150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-167640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-150495</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-377825</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-361315</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-344170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-327660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-310515</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-294005</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-276860</wp:posOffset>
            </wp:positionV>
            <wp:extent cx="825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-377825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-361315</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-344170</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-327660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-310515</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-294005</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-276860</wp:posOffset>
            </wp:positionV>
            <wp:extent cx="825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-504190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-487045</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-470535</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-453390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-436880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-420370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-403225</wp:posOffset>
            </wp:positionV>
            <wp:extent cx="825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-504190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-487045</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-470535</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-453390</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-436880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-420370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-403225</wp:posOffset>
            </wp:positionV>
            <wp:extent cx="825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-630555</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-613410</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-596900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-579755</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-563245</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-546100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-529590</wp:posOffset>
            </wp:positionV>
            <wp:extent cx="825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-630555</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-613410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-596900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-579755</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-563245</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-546100</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-529590</wp:posOffset>
            </wp:positionV>
            <wp:extent cx="825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-773430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-756920</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-739775</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-722630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-706120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-688975</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-672465</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-655320</wp:posOffset>
            </wp:positionV>
            <wp:extent cx="825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-773430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-756920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-739775</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-722630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-706120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-688975</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-672465</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-655320</wp:posOffset>
            </wp:positionV>
            <wp:extent cx="825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-908050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-890905</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-874395</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-857250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-840740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-823595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-807085</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-789940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-908050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-890905</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-874395</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-857250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-840740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-823595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-807085</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-789940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-1025525</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-1009015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-991870</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-975360</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-958215</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-941705</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-925195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-1025525</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-1009015</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-991870</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-975360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-958215</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-941705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-925195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-1169035</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-1151890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-1135380</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-1118235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-1101725</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-1084580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-1068070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-1050925</wp:posOffset>
            </wp:positionV>
            <wp:extent cx="825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-1169035</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-1151890</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-1135380</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-1118235</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-1101725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-1084580</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-1068070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-1050925</wp:posOffset>
            </wp:positionV>
            <wp:extent cx="825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-1303655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-1286510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-1270000</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-1252855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-1236345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-1219200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-1202690</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-1185545</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-1303655</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-1286510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-1270000</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-1252855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-1236345</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-1219200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-1202690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-1185545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-1421130</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-1404620</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-1387475</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-1370965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-1353820</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-1337310</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-1320165</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-1421130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-1404620</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-1387475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-1370965</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-1353820</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-1337310</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-1320165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-1547495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-1530350</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-1513840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-1496695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-1480185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-1463040</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-1446530</wp:posOffset>
            </wp:positionV>
            <wp:extent cx="825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-1547495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-1530350</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-1513840</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-1496695</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-1480185</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-1463040</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-1446530</wp:posOffset>
            </wp:positionV>
            <wp:extent cx="825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-1673860</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-1656715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-1640205</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-1623060</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-1606550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-1589405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-1572895</wp:posOffset>
            </wp:positionV>
            <wp:extent cx="825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-1673860</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-1656715</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-1640205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-1623060</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-1606550</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-1589405</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-1572895</wp:posOffset>
            </wp:positionV>
            <wp:extent cx="825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-1799590</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-1783080</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-1765935</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-1749425</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-1732915</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-1715770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-1698625</wp:posOffset>
            </wp:positionV>
            <wp:extent cx="825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-1799590</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-1783080</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-1765935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-1749425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-1732915</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-1715770</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-1698625</wp:posOffset>
            </wp:positionV>
            <wp:extent cx="825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-1925955</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-1909445</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-1892300</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-1875790</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-1858645</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-1842135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-1824990</wp:posOffset>
            </wp:positionV>
            <wp:extent cx="825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-1925955</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-1909445</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-1892300</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-1875790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-1858645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-1842135</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-1824990</wp:posOffset>
            </wp:positionV>
            <wp:extent cx="825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-2069465</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-2052320</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-2035175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-2018665</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-2001520</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-1985010</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-1967865</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-1951355</wp:posOffset>
            </wp:positionV>
            <wp:extent cx="825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-2069465</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-2052320</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-2035175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-2018665</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-2001520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-1985010</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-1967865</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-1951355</wp:posOffset>
            </wp:positionV>
            <wp:extent cx="825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-2203450</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-2186940</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-2169795</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-2153285</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-2136140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-2119630</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-2102485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-2085975</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-2203450</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-2186940</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-2169795</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-2153285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-2136140</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-2119630</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-2102485</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-2085975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-2321560</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-2304415</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-2287905</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-2270760</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-2254250</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-2237740</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-2220595</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-2321560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-2304415</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-2287905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-2270760</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-2254250</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-2237740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-2220595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-2464435</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-2447925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-2430780</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-2414270</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-2397125</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-2380615</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-2363470</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-2346960</wp:posOffset>
            </wp:positionV>
            <wp:extent cx="825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-2464435</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-2447925</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-2430780</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-2414270</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-2397125</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-2380615</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-2363470</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-2346960</wp:posOffset>
            </wp:positionV>
            <wp:extent cx="825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-2599055</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-2582545</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-2565400</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-2548890</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-2531745</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-2515235</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-2498090</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-2481580</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-2599055</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-2582545</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-2565400</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-2548890</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-2531745</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-2515235</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-2498090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-2481580</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-2717165</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-2700020</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-2683510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-2666365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-2649855</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-2632710</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-2616200</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-2717165</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-2700020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-2683510</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-2666365</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-2649855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-2632710</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-2616200</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-2842895</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-2826385</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-2809240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-2792730</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-2775585</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-2759075</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-2741930</wp:posOffset>
            </wp:positionV>
            <wp:extent cx="8255" cy="165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-2842895</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-2826385</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-2809240</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-2792730</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-2775585</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-2759075</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-2741930</wp:posOffset>
            </wp:positionV>
            <wp:extent cx="8255" cy="165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-2969260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-2952750</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-2935605</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-2919095</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-2901950</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-2885440</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-2868295</wp:posOffset>
            </wp:positionV>
            <wp:extent cx="8255" cy="165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-2969260</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-2952750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-2935605</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-2919095</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-2901950</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-2885440</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-2868295</wp:posOffset>
            </wp:positionV>
            <wp:extent cx="8255" cy="165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-3112135</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-3095625</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-3078480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-3061970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-3044825</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-3028315</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-3011170</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-2994660</wp:posOffset>
            </wp:positionV>
            <wp:extent cx="8255" cy="165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-3112135</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-3095625</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-3078480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-3061970</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-3044825</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-3028315</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-3011170</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-2994660</wp:posOffset>
            </wp:positionV>
            <wp:extent cx="8255" cy="1651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-3238500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-3221990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-3204845</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-3188335</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-3171190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-3154680</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-3137535</wp:posOffset>
            </wp:positionV>
            <wp:extent cx="825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-3238500</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-3221990</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-3204845</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-3188335</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-3171190</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-3154680</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-3137535</wp:posOffset>
            </wp:positionV>
            <wp:extent cx="825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-3381375</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-3364865</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-3347720</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-3331210</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-3314065</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-3297555</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-3280410</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-3263900</wp:posOffset>
            </wp:positionV>
            <wp:extent cx="8255"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-3381375</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-3364865</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-3347720</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-3331210</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-3314065</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-3297555</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-3280410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-3263900</wp:posOffset>
            </wp:positionV>
            <wp:extent cx="825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-3515995</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-3499485</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-3482340</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-3465830</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-3448685</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-3432175</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-3415030</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-3398520</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-3515995</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-3499485</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-3482340</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-3465830</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-3448685</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-3432175</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-3415030</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-3398520</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-3634105</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-3616960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-3600450</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-3583305</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-3566795</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-3549650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-3533140</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-3634105</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-3616960</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-3600450</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-3583305</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-3566795</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-3549650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-3533140</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-3776980</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-3760470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-3743325</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-3726815</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-3709670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-3693160</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-3676015</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-3659505</wp:posOffset>
            </wp:positionV>
            <wp:extent cx="8255"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-3776980</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-3760470</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-3743325</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-3726815</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-3709670</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-3693160</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-3676015</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-3659505</wp:posOffset>
            </wp:positionV>
            <wp:extent cx="8255"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-3911600</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-3895090</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-3877945</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-3861435</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-3844290</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-3827780</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-3810635</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-3794125</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-3911600</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-3895090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-3877945</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-3861435</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-3844290</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-3827780</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-3810635</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-3794125</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accompanying notes form an integral part of these consolidated financial statements.</w:t>
      </w:r>
    </w:p>
    <w:p>
      <w:pPr>
        <w:spacing w:after="0" w:line="309" w:lineRule="exact"/>
        <w:rPr>
          <w:sz w:val="20"/>
          <w:szCs w:val="20"/>
          <w:color w:val="auto"/>
        </w:rPr>
      </w:pPr>
    </w:p>
    <w:tbl>
      <w:tblPr>
        <w:tblLayout w:type="fixed"/>
        <w:tblInd w:w="2450" w:type="dxa"/>
        <w:tblCellMar>
          <w:top w:w="0" w:type="dxa"/>
          <w:left w:w="0" w:type="dxa"/>
          <w:bottom w:w="0" w:type="dxa"/>
          <w:right w:w="0" w:type="dxa"/>
        </w:tblCellMar>
      </w:tblPr>
      <w:tr>
        <w:trPr>
          <w:trHeight w:val="146"/>
        </w:trPr>
        <w:tc>
          <w:tcPr>
            <w:tcW w:w="6740" w:type="dxa"/>
            <w:vAlign w:val="bottom"/>
            <w:tcBorders>
              <w:left w:val="single" w:sz="8" w:color="57879D"/>
            </w:tcBorders>
            <w:vMerge w:val="restart"/>
          </w:tcPr>
          <w:p>
            <w:pPr>
              <w:ind w:left="40"/>
              <w:spacing w:after="0"/>
              <w:rPr>
                <w:sz w:val="20"/>
                <w:szCs w:val="20"/>
                <w:color w:val="auto"/>
              </w:rPr>
            </w:pPr>
            <w:r>
              <w:rPr>
                <w:rFonts w:ascii="Arial" w:cs="Arial" w:eastAsia="Arial" w:hAnsi="Arial"/>
                <w:sz w:val="15"/>
                <w:szCs w:val="15"/>
                <w:color w:val="3C3C3B"/>
              </w:rPr>
              <w:t>Half-Year Business and Financial Report at June 30, 2025</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6740" w:type="dxa"/>
            <w:vAlign w:val="bottom"/>
            <w:tcBorders>
              <w:left w:val="single" w:sz="8" w:color="57879D"/>
            </w:tcBorders>
            <w:vMerge w:val="continue"/>
          </w:tcPr>
          <w:p>
            <w:pPr>
              <w:spacing w:after="0"/>
              <w:rPr>
                <w:sz w:val="24"/>
                <w:szCs w:val="24"/>
                <w:color w:val="auto"/>
              </w:rPr>
            </w:pPr>
          </w:p>
        </w:tc>
        <w:tc>
          <w:tcPr>
            <w:tcW w:w="740" w:type="dxa"/>
            <w:vAlign w:val="bottom"/>
            <w:tcBorders>
              <w:bottom w:val="single" w:sz="8" w:color="DBDBDB"/>
            </w:tcBorders>
            <w:shd w:val="clear" w:color="auto" w:fill="DBDBDB"/>
          </w:tcPr>
          <w:p>
            <w:pPr>
              <w:jc w:val="right"/>
              <w:ind w:right="485"/>
              <w:spacing w:after="0"/>
              <w:rPr>
                <w:sz w:val="20"/>
                <w:szCs w:val="20"/>
                <w:color w:val="auto"/>
              </w:rPr>
            </w:pPr>
            <w:r>
              <w:rPr>
                <w:rFonts w:ascii="Arial" w:cs="Arial" w:eastAsia="Arial" w:hAnsi="Arial"/>
                <w:sz w:val="15"/>
                <w:szCs w:val="15"/>
                <w:color w:val="3C3C3B"/>
                <w:w w:val="95"/>
              </w:rPr>
              <w:t>19</w:t>
            </w:r>
          </w:p>
        </w:tc>
        <w:tc>
          <w:tcPr>
            <w:tcW w:w="0" w:type="dxa"/>
            <w:vAlign w:val="bottom"/>
          </w:tcPr>
          <w:p>
            <w:pPr>
              <w:spacing w:after="0"/>
              <w:rPr>
                <w:sz w:val="1"/>
                <w:szCs w:val="1"/>
                <w:color w:val="auto"/>
              </w:rPr>
            </w:pPr>
          </w:p>
        </w:tc>
      </w:tr>
      <w:tr>
        <w:trPr>
          <w:trHeight w:val="146"/>
        </w:trPr>
        <w:tc>
          <w:tcPr>
            <w:tcW w:w="6740" w:type="dxa"/>
            <w:vAlign w:val="bottom"/>
            <w:tcBorders>
              <w:left w:val="single" w:sz="8" w:color="57879D"/>
            </w:tcBorders>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-369570</wp:posOffset>
            </wp:positionV>
            <wp:extent cx="1094105" cy="27749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094105" cy="277495"/>
                    </a:xfrm>
                    <a:prstGeom prst="rect">
                      <a:avLst/>
                    </a:prstGeom>
                    <a:noFill/>
                  </pic:spPr>
                </pic:pic>
              </a:graphicData>
            </a:graphic>
          </wp:anchor>
        </w:drawing>
      </w:r>
    </w:p>
    <w:p>
      <w:pPr>
        <w:sectPr>
          <w:pgSz w:w="11900" w:h="16838" w:orient="portrait"/>
          <w:cols w:equalWidth="0" w:num="1">
            <w:col w:w="11220"/>
          </w:cols>
          <w:pgMar w:left="320" w:top="1273" w:right="359" w:bottom="1440" w:gutter="0" w:footer="0" w:header="0"/>
        </w:sectPr>
      </w:pPr>
    </w:p>
    <w:bookmarkStart w:id="25" w:name="page26"/>
    <w:bookmarkEnd w:id="25"/>
    <w:p>
      <w:pPr>
        <w:ind w:left="100"/>
        <w:spacing w:after="0"/>
        <w:tabs>
          <w:tab w:leader="none" w:pos="1160" w:val="left"/>
        </w:tabs>
        <w:rPr>
          <w:sz w:val="20"/>
          <w:szCs w:val="20"/>
          <w:color w:val="auto"/>
        </w:rPr>
      </w:pPr>
      <w:r>
        <w:rPr>
          <w:rFonts w:ascii="Arial" w:cs="Arial" w:eastAsia="Arial" w:hAnsi="Arial"/>
          <w:sz w:val="28"/>
          <w:szCs w:val="28"/>
          <w:color w:val="57879D"/>
        </w:rPr>
        <w:t>3.6</w:t>
      </w:r>
      <w:r>
        <w:rPr>
          <w:sz w:val="20"/>
          <w:szCs w:val="20"/>
          <w:color w:val="auto"/>
        </w:rPr>
        <w:tab/>
      </w:r>
      <w:r>
        <w:rPr>
          <w:rFonts w:ascii="Arial" w:cs="Arial" w:eastAsia="Arial" w:hAnsi="Arial"/>
          <w:sz w:val="28"/>
          <w:szCs w:val="28"/>
          <w:color w:val="57879D"/>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712660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400" w:lineRule="exact"/>
        <w:rPr>
          <w:sz w:val="20"/>
          <w:szCs w:val="20"/>
          <w:color w:val="auto"/>
        </w:rPr>
      </w:pPr>
    </w:p>
    <w:p>
      <w:pPr>
        <w:ind w:left="1140" w:hanging="578"/>
        <w:spacing w:after="0"/>
        <w:tabs>
          <w:tab w:leader="none" w:pos="1140" w:val="left"/>
        </w:tabs>
        <w:numPr>
          <w:ilvl w:val="0"/>
          <w:numId w:val="29"/>
        </w:numPr>
        <w:rPr>
          <w:rFonts w:ascii="Arial" w:cs="Arial" w:eastAsia="Arial" w:hAnsi="Arial"/>
          <w:sz w:val="18"/>
          <w:szCs w:val="18"/>
          <w:b w:val="1"/>
          <w:bCs w:val="1"/>
          <w:color w:val="E99D25"/>
        </w:rPr>
      </w:pPr>
      <w:r>
        <w:rPr>
          <w:rFonts w:ascii="Arial" w:cs="Arial" w:eastAsia="Arial" w:hAnsi="Arial"/>
          <w:sz w:val="18"/>
          <w:szCs w:val="18"/>
          <w:b w:val="1"/>
          <w:bCs w:val="1"/>
          <w:color w:val="E99D25"/>
        </w:rPr>
        <w:t>THE COMPANY</w:t>
      </w:r>
    </w:p>
    <w:p>
      <w:pPr>
        <w:spacing w:after="0" w:line="271"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5"/>
          <w:szCs w:val="15"/>
          <w:color w:val="auto"/>
        </w:rPr>
        <w:t>Founded in 1999 under the laws of France, GENFIT S.A. (the "Company") is a late-stage biopharmaceutical company dedicated to the discovery and development of innovative drugs and diagnostic tools in therapeutic areas of high unmet need due in particular to a lack of effective treatments or diagnostic solutions and/or an increase in patients worldwide.</w:t>
      </w:r>
    </w:p>
    <w:p>
      <w:pPr>
        <w:spacing w:after="0" w:line="136"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auto"/>
        </w:rPr>
        <w:t>The Company focuses its research and development (R&amp;D) efforts on the potential marketing of therapeutic and diagnostic solutions to combat certain metabolic, inflammatory, autoimmune and fibrotic diseases affecting in particular the liver (such as Primary Biliary Cholangitis or PBC) and more generally gastroenterological diseases. The head office address is: 885 Avenue Eugène Avinée – 59120 Loos, France.</w:t>
      </w:r>
    </w:p>
    <w:p>
      <w:pPr>
        <w:spacing w:after="0" w:line="14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auto"/>
        </w:rPr>
        <w:t>The consolidated financial statements of the Company include the financial statements of GENFIT S.A.; those of its wholly-owned subsidiaries, GENFIT CORP. (U.S. subsidiary) and Versantis AG (Swiss subsidiary); and a French-law trust (for the benefit of the holders of the royalty financing bonds), together referred to in these notes to the consolidated financial statements as "GENFIT" or the "Group" or “we“ or “us”. There are no non-controlling interests for any period presented herein.</w:t>
      </w:r>
    </w:p>
    <w:p>
      <w:pPr>
        <w:spacing w:after="0" w:line="220" w:lineRule="exact"/>
        <w:rPr>
          <w:sz w:val="20"/>
          <w:szCs w:val="20"/>
          <w:color w:val="auto"/>
        </w:rPr>
      </w:pPr>
    </w:p>
    <w:p>
      <w:pPr>
        <w:ind w:left="480" w:hanging="474"/>
        <w:spacing w:after="0"/>
        <w:tabs>
          <w:tab w:leader="none" w:pos="480" w:val="left"/>
        </w:tabs>
        <w:numPr>
          <w:ilvl w:val="0"/>
          <w:numId w:val="30"/>
        </w:numPr>
        <w:rPr>
          <w:rFonts w:ascii="Arial" w:cs="Arial" w:eastAsia="Arial" w:hAnsi="Arial"/>
          <w:sz w:val="18"/>
          <w:szCs w:val="18"/>
          <w:b w:val="1"/>
          <w:bCs w:val="1"/>
          <w:color w:val="E99D25"/>
        </w:rPr>
      </w:pPr>
      <w:r>
        <w:rPr>
          <w:rFonts w:ascii="Arial" w:cs="Arial" w:eastAsia="Arial" w:hAnsi="Arial"/>
          <w:sz w:val="18"/>
          <w:szCs w:val="18"/>
          <w:b w:val="1"/>
          <w:bCs w:val="1"/>
          <w:color w:val="E99D25"/>
        </w:rPr>
        <w:t>MAJOR EVENTS IN THE PERIOD AND EVENTS AFTER THE PERIOD</w:t>
      </w:r>
    </w:p>
    <w:p>
      <w:pPr>
        <w:spacing w:after="0" w:line="275" w:lineRule="exact"/>
        <w:rPr>
          <w:sz w:val="20"/>
          <w:szCs w:val="20"/>
          <w:color w:val="auto"/>
        </w:rPr>
      </w:pPr>
    </w:p>
    <w:p>
      <w:pPr>
        <w:ind w:left="320"/>
        <w:spacing w:after="0"/>
        <w:tabs>
          <w:tab w:leader="none" w:pos="1120" w:val="left"/>
        </w:tabs>
        <w:rPr>
          <w:sz w:val="20"/>
          <w:szCs w:val="20"/>
          <w:color w:val="auto"/>
        </w:rPr>
      </w:pPr>
      <w:r>
        <w:rPr>
          <w:rFonts w:ascii="Arial" w:cs="Arial" w:eastAsia="Arial" w:hAnsi="Arial"/>
          <w:sz w:val="16"/>
          <w:szCs w:val="16"/>
          <w:b w:val="1"/>
          <w:bCs w:val="1"/>
          <w:color w:val="auto"/>
        </w:rPr>
        <w:t>2.1.</w:t>
      </w:r>
      <w:r>
        <w:rPr>
          <w:sz w:val="20"/>
          <w:szCs w:val="20"/>
          <w:color w:val="auto"/>
        </w:rPr>
        <w:tab/>
      </w:r>
      <w:r>
        <w:rPr>
          <w:rFonts w:ascii="Arial" w:cs="Arial" w:eastAsia="Arial" w:hAnsi="Arial"/>
          <w:sz w:val="15"/>
          <w:szCs w:val="15"/>
          <w:b w:val="1"/>
          <w:bCs w:val="1"/>
          <w:color w:val="auto"/>
        </w:rPr>
        <w:t>Major events in the period</w:t>
      </w:r>
    </w:p>
    <w:p>
      <w:pPr>
        <w:spacing w:after="0" w:line="280"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E99D25"/>
        </w:rPr>
        <w:t>Approval of pricing and reimbursement of Ipsen’s Iqirvo® (elafibranor) in Italy</w:t>
      </w:r>
    </w:p>
    <w:p>
      <w:pPr>
        <w:spacing w:after="0" w:line="26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3C3C3B"/>
        </w:rPr>
        <w:t>On May 20, 2025, GENFIT announced that Ipsen’s Iqirvo® (elafibranor) was granted pricing and reimbursement in Italy for Primary Biliary Cholangitis (PBC), the third major European country to do so in addition to the UK and Germany. This third approval triggers a new milestone payment of €26.5 million under GENFIT's Licensing and Collaboration Agreement with Ipsen, due upon pricing and reimbursement of Iqirvo® (elafibranor) in three major European markets.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Milestone payments under the Licensing and Collaboration Agreement with Ipsen are not included in the scope of our royalty financing agreement.</w:t>
      </w:r>
    </w:p>
    <w:p>
      <w:pPr>
        <w:spacing w:after="0" w:line="28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E99D25"/>
        </w:rPr>
        <w:t>Non-Dilutive Royalty Financing Agreement and concurrent OCEANEs repurchase</w:t>
      </w:r>
    </w:p>
    <w:p>
      <w:pPr>
        <w:spacing w:after="0" w:line="263"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5"/>
          <w:szCs w:val="15"/>
          <w:color w:val="3C3C3B"/>
        </w:rPr>
        <w:t>On January 30, 2025, GENFIT announced the signing of a Royalty Financing deal with HealthCare Royalty (HCRx) providing up to €185 million non-dilutive capital, including €130 million upfront, with eligibility to receive up to €55 million in two additional installments of €30 million and €20 million, respectively, based on near-term milestones.</w:t>
      </w:r>
    </w:p>
    <w:p>
      <w:pPr>
        <w:spacing w:after="0" w:line="12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5"/>
          <w:szCs w:val="15"/>
          <w:color w:val="3C3C3B"/>
        </w:rPr>
        <w:t>The terms and conditions of the OCEANEs contained a negative pledge clause which limited the ability of the Company to grant security interests to its creditors upon its present or future assets or revenues. The closing of the Royalty Financing with HCRx, which was signed and announced by GENFIT on January 30, 2025, was subject to approval of OCEANEs bondholders of an amendment to this negative pledge clause, allowing for the grant of the security interest contemplated in the Royalty Financing documentation, and other customary closing conditions.</w:t>
      </w:r>
    </w:p>
    <w:p>
      <w:pPr>
        <w:spacing w:after="0" w:line="145"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In order to obtain approval of the royalty financing by the OCEANEs holders, GENFIT convened a general meeting of the holders on March 10, 2025. All resolutions proposed by the Company to the bondholders were approved unanimously.</w:t>
      </w:r>
    </w:p>
    <w:p>
      <w:pPr>
        <w:spacing w:after="0" w:line="122"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5"/>
          <w:szCs w:val="15"/>
          <w:color w:val="3C3C3B"/>
        </w:rPr>
        <w:t>As announced on February 10, 2025 and February 14, 2025, the Company proposed to all of the OCEANEs holders to enter into a Put Option Agreement, pursuant to which the Company unconditionally and irrevocably undertook to repurchase the OCEANEs of such holder at a price of EUR 32.75 per bond, subject to approval by the general meeting of the OCEANEs holders of the amendment of the terms and conditions of the OCEANEs and the closing of the Royalty Financing (the “Repurchase”). Holders had until March 19, 2025 to exercise this option.</w:t>
      </w:r>
    </w:p>
    <w:p>
      <w:pPr>
        <w:spacing w:after="0" w:line="149"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The settlement of the Repurchase occurred on March 26, 2025. 1,882,891 OCEANEs were repurchased for a total amount paid of €61.7 million. The repurchased OCEANEs were then canceled by the Company.</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 xml:space="preserve">For further information, refer to </w:t>
      </w:r>
      <w:r>
        <w:rPr>
          <w:rFonts w:ascii="Arial" w:cs="Arial" w:eastAsia="Arial" w:hAnsi="Arial"/>
          <w:sz w:val="15"/>
          <w:szCs w:val="15"/>
          <w:u w:val="single" w:color="auto"/>
          <w:color w:val="0000FF"/>
        </w:rPr>
        <w:t>Note 17 - Loans and Borrowings</w:t>
      </w:r>
      <w:r>
        <w:rPr>
          <w:rFonts w:ascii="Arial" w:cs="Arial" w:eastAsia="Arial" w:hAnsi="Arial"/>
          <w:sz w:val="15"/>
          <w:szCs w:val="15"/>
          <w:color w:val="3C3C3B"/>
        </w:rPr>
        <w:t>.</w:t>
      </w:r>
    </w:p>
    <w:p>
      <w:pPr>
        <w:spacing w:after="0" w:line="28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E99D25"/>
        </w:rPr>
        <w:t>Genoscience Pharma asset transfer</w:t>
      </w:r>
    </w:p>
    <w:p>
      <w:pPr>
        <w:spacing w:after="0" w:line="26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3C3C3B"/>
        </w:rPr>
        <w:t>On January 3, 2025, GENFIT acquired all patents and patent applications, know-how, and data held by Genoscience Pharma necessary for the development, manufacturing, and marketing of GNS561, regardless of its therapeutic indication, form, dosage, or formulation. The sale price was a lump sum payment of €2 million euros excluding taxes. This agreement terminates the previous agreement signed in 2021.</w:t>
      </w:r>
    </w:p>
    <w:p>
      <w:pPr>
        <w:spacing w:after="0" w:line="292"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9"/>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20</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6" w:name="page27"/>
    <w:bookmarkEnd w:id="26"/>
    <w:p>
      <w:pPr>
        <w:ind w:left="320"/>
        <w:spacing w:after="0"/>
        <w:rPr>
          <w:sz w:val="20"/>
          <w:szCs w:val="20"/>
          <w:color w:val="auto"/>
        </w:rPr>
      </w:pPr>
      <w:r>
        <w:rPr>
          <w:rFonts w:ascii="Arial" w:cs="Arial" w:eastAsia="Arial" w:hAnsi="Arial"/>
          <w:sz w:val="15"/>
          <w:szCs w:val="15"/>
          <w:color w:val="3C3C3B"/>
        </w:rPr>
        <w:t xml:space="preserve">For further information, refer to </w:t>
      </w:r>
      <w:r>
        <w:rPr>
          <w:rFonts w:ascii="Arial" w:cs="Arial" w:eastAsia="Arial" w:hAnsi="Arial"/>
          <w:sz w:val="15"/>
          <w:szCs w:val="15"/>
          <w:u w:val="single" w:color="auto"/>
          <w:color w:val="0000FF"/>
        </w:rPr>
        <w:t>Note 15 - Intangible assets</w:t>
      </w:r>
      <w:r>
        <w:rPr>
          <w:rFonts w:ascii="Arial" w:cs="Arial" w:eastAsia="Arial" w:hAnsi="Arial"/>
          <w:sz w:val="15"/>
          <w:szCs w:val="15"/>
          <w:color w:val="3C3C3B"/>
        </w:rPr>
        <w:t xml:space="preserve"> and </w:t>
      </w:r>
      <w:r>
        <w:rPr>
          <w:rFonts w:ascii="Arial" w:cs="Arial" w:eastAsia="Arial" w:hAnsi="Arial"/>
          <w:sz w:val="15"/>
          <w:szCs w:val="15"/>
          <w:u w:val="single" w:color="auto"/>
          <w:color w:val="0000FF"/>
        </w:rPr>
        <w:t>Note 24 - Commitments, contingent liabilities and contingent assets</w:t>
      </w:r>
      <w:r>
        <w:rPr>
          <w:rFonts w:ascii="Arial" w:cs="Arial" w:eastAsia="Arial" w:hAnsi="Arial"/>
          <w:sz w:val="15"/>
          <w:szCs w:val="15"/>
          <w:color w:val="3C3C3B"/>
        </w:rPr>
        <w:t>.</w:t>
      </w:r>
    </w:p>
    <w:p>
      <w:pPr>
        <w:spacing w:after="0" w:line="281" w:lineRule="exact"/>
        <w:rPr>
          <w:sz w:val="20"/>
          <w:szCs w:val="20"/>
          <w:color w:val="auto"/>
        </w:rPr>
      </w:pPr>
    </w:p>
    <w:p>
      <w:pPr>
        <w:ind w:left="320"/>
        <w:spacing w:after="0"/>
        <w:tabs>
          <w:tab w:leader="none" w:pos="112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5"/>
          <w:szCs w:val="15"/>
          <w:b w:val="1"/>
          <w:bCs w:val="1"/>
          <w:color w:val="auto"/>
        </w:rPr>
        <w:t>Events after the period</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E99D25"/>
        </w:rPr>
        <w:t>Milestone received</w:t>
      </w:r>
    </w:p>
    <w:p>
      <w:pPr>
        <w:spacing w:after="0" w:line="18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5"/>
          <w:szCs w:val="15"/>
          <w:color w:val="3C3C3B"/>
        </w:rPr>
        <w:t>GENFIT collected the €26.5 million milestone payment from Ipsen in July of 2025 (recognized in May 2025 upon the third pricing and reimbursement approval of Iqirvo® (elafibranor) in Italy, the third major European country to do so).</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E99D25"/>
        </w:rPr>
        <w:t>Adverse event related to the Versantis VS-01 intangible occurred in September 2025</w:t>
      </w:r>
    </w:p>
    <w:p>
      <w:pPr>
        <w:spacing w:after="0" w:line="263"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On September 19, 2025, GENFIT announced its decision to discontinue its VS-01 program in ACLF (Acute-on-Chronic Liver Failure), and reprioritize its development on UCD (Urea Cycle Disorder).</w:t>
      </w:r>
    </w:p>
    <w:p>
      <w:pPr>
        <w:spacing w:after="0" w:line="122"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5"/>
          <w:szCs w:val="15"/>
          <w:color w:val="3C3C3B"/>
        </w:rPr>
        <w:t>GENFIT’s decision follows the occurrence in September of a peritonitis case reported as Serious Adverse Event (SAE) in the UNVEIL-IT® clinical trial evaluating VS-01 in patients with ACLF grade 1, 2 or 3a and ascites and subsequent review and feedback from the independent Data Monitoring Committee (iDMC). The committee concluded that the trial could continue but required additional data and monitoring. Despite the possibility to move ahead with the study, GENFIT decided – after considering the target population’s clinical profile as well as the implications of this type of safety signals for the benefit/risk ratio of VS-01 in this indication – to discontinue both UNVEIL-IT® and the proof-of-concept study evaluating VS-01 in patients with Acute Decompensation (AD) or ACLF grade 1 with Hepatic Encephalopathy (HE) grades 1 to 4, and ascites.</w:t>
      </w:r>
    </w:p>
    <w:p>
      <w:pPr>
        <w:spacing w:after="0" w:line="15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5"/>
          <w:szCs w:val="15"/>
          <w:color w:val="3C3C3B"/>
        </w:rPr>
        <w:t>The carrying amount of the Versantis VS-01 intangible is €45.8 million in "Intangible assets" on the Statement of Financial Position as of June 30, 2025, and GENFIT will fully impair the asset in the second half of 2025. In accordance with IAS 10, this is considered on a non-adjusting event as this is a situation arising entirely after the reporting period. GENFIT is currently reviewing the other possible consequences of the decision to discontinue its VS-01 program in ACLF, the impact of which cannot yet be assessed. The corresponding impact, if any, will be recognized in the second half of 2025.</w:t>
      </w:r>
    </w:p>
    <w:p>
      <w:pPr>
        <w:spacing w:after="0" w:line="223" w:lineRule="exact"/>
        <w:rPr>
          <w:sz w:val="20"/>
          <w:szCs w:val="20"/>
          <w:color w:val="auto"/>
        </w:rPr>
      </w:pPr>
    </w:p>
    <w:p>
      <w:pPr>
        <w:ind w:left="480" w:hanging="474"/>
        <w:spacing w:after="0"/>
        <w:tabs>
          <w:tab w:leader="none" w:pos="480" w:val="left"/>
        </w:tabs>
        <w:numPr>
          <w:ilvl w:val="0"/>
          <w:numId w:val="31"/>
        </w:numPr>
        <w:rPr>
          <w:rFonts w:ascii="Arial" w:cs="Arial" w:eastAsia="Arial" w:hAnsi="Arial"/>
          <w:sz w:val="18"/>
          <w:szCs w:val="18"/>
          <w:b w:val="1"/>
          <w:bCs w:val="1"/>
          <w:color w:val="E99D25"/>
        </w:rPr>
      </w:pPr>
      <w:r>
        <w:rPr>
          <w:rFonts w:ascii="Arial" w:cs="Arial" w:eastAsia="Arial" w:hAnsi="Arial"/>
          <w:sz w:val="18"/>
          <w:szCs w:val="18"/>
          <w:b w:val="1"/>
          <w:bCs w:val="1"/>
          <w:color w:val="E99D25"/>
        </w:rPr>
        <w:t>BASIS OF PRESENTATION</w:t>
      </w:r>
    </w:p>
    <w:p>
      <w:pPr>
        <w:spacing w:after="0" w:line="271"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3C3C3B"/>
        </w:rPr>
        <w:t>The half year consolidated financial statements of GENFIT have been prepared in accordance with International Financial Reporting Standards (“IFRS”) as issued by the International Accounting Standards Board (“IASB”) and as adopted by the European Union at June 30, 2025. Comparative information is presented for the year ended December 31, 2024 and for the half year ended June 30, 2024.</w:t>
      </w:r>
    </w:p>
    <w:p>
      <w:pPr>
        <w:spacing w:after="0" w:line="142"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The term IFRS includes International Financial Reporting Standards ("IFRS"), International Accounting Standards (the "IAS"), as well as the Interpretations issued by the Standards Interpretation Committee (the "SIC"), and the International Financial Reporting Interpretations Committee ("IFRIC").</w:t>
      </w:r>
    </w:p>
    <w:p>
      <w:pPr>
        <w:spacing w:after="0" w:line="12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3C3C3B"/>
        </w:rPr>
        <w:t>These consolidated half year financial statements have been prepared using the historical cost measurement basis (except for certain assets and liabilities that are measured at fair value in accordance with the IFRS general principles of fair presentation), going concern, accrual basis of accounting, consistency of presentation, materiality and aggregation.</w:t>
      </w:r>
    </w:p>
    <w:p>
      <w:pPr>
        <w:spacing w:after="0" w:line="142"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These consolidated half year financial statements for the period ended June 30, 2025 were prepared under the responsibility of the Board of Directors that approved such statements on September 19, 2025.</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principal accounting methods used to prepare the Consolidated Financial Statements are described below.</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All financial information (unless indicated otherwise) is presented in thousands of euros (€).</w:t>
      </w:r>
    </w:p>
    <w:p>
      <w:pPr>
        <w:spacing w:after="0" w:line="185"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5"/>
          <w:szCs w:val="15"/>
          <w:color w:val="3C3C3B"/>
        </w:rPr>
        <w:t>In accordance with European Commission Regulation 1606/2002, these consolidated interim financial statements for the six-month period ended June 30, 2025 have been prepared in accordance with IAS 34 – Interim Financial Reporting, and should be read in conjunction with the Group’s most recent annual consolidated financial statements for the year ended December 31, 2024. They do not include all the information required for a complete set of financial statements in accordance with IFRS, but a selection of notes explaining significant events and transactions with a view to understanding the changes in the Group’s financial position and performance since the most recent annual consolidated financial statements.</w:t>
      </w:r>
    </w:p>
    <w:p>
      <w:pPr>
        <w:spacing w:after="0" w:line="228"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5"/>
          <w:szCs w:val="15"/>
          <w:b w:val="1"/>
          <w:bCs w:val="1"/>
          <w:color w:val="auto"/>
        </w:rPr>
        <w:t>Changes in accounting policies and new standards or amendments</w:t>
      </w:r>
    </w:p>
    <w:p>
      <w:pPr>
        <w:spacing w:after="0" w:line="2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5"/>
          <w:szCs w:val="15"/>
          <w:color w:val="3C3C3B"/>
        </w:rPr>
        <w:t>The accounting policies applicable for these consolidated half-year financial statements are the same as those applied to the most recent consolidated annual financial statements.</w:t>
      </w:r>
    </w:p>
    <w:p>
      <w:pPr>
        <w:spacing w:after="0" w:line="136"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The following new standards are applicable from January 1, 2025, but do not have any material effect on the Group’s financial statements for the period ended June 30, 2025.</w:t>
      </w:r>
    </w:p>
    <w:p>
      <w:pPr>
        <w:spacing w:after="0" w:line="16" w:lineRule="exact"/>
        <w:rPr>
          <w:sz w:val="20"/>
          <w:szCs w:val="20"/>
          <w:color w:val="auto"/>
        </w:rPr>
      </w:pPr>
    </w:p>
    <w:p>
      <w:pPr>
        <w:ind w:left="500" w:hanging="240"/>
        <w:spacing w:after="0"/>
        <w:tabs>
          <w:tab w:leader="none" w:pos="500" w:val="left"/>
        </w:tabs>
        <w:numPr>
          <w:ilvl w:val="0"/>
          <w:numId w:val="32"/>
        </w:numPr>
        <w:rPr>
          <w:rFonts w:ascii="Arial" w:cs="Arial" w:eastAsia="Arial" w:hAnsi="Arial"/>
          <w:sz w:val="15"/>
          <w:szCs w:val="15"/>
          <w:color w:val="3C3C3B"/>
        </w:rPr>
      </w:pPr>
      <w:r>
        <w:rPr>
          <w:rFonts w:ascii="Arial" w:cs="Arial" w:eastAsia="Arial" w:hAnsi="Arial"/>
          <w:sz w:val="15"/>
          <w:szCs w:val="15"/>
          <w:color w:val="3C3C3B"/>
        </w:rPr>
        <w:t>Amendments to IAS 21 - Lack of Exchangeability</w:t>
      </w:r>
    </w:p>
    <w:p>
      <w:pPr>
        <w:spacing w:after="0" w:line="335"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9"/>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21</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27" w:name="page28"/>
    <w:bookmarkEnd w:id="27"/>
    <w:p>
      <w:pPr>
        <w:spacing w:after="0"/>
        <w:tabs>
          <w:tab w:leader="none" w:pos="46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5"/>
          <w:szCs w:val="15"/>
          <w:b w:val="1"/>
          <w:bCs w:val="1"/>
          <w:color w:val="auto"/>
        </w:rPr>
        <w:t>Standards, interpretations and amendments issued but not yet effective</w:t>
      </w:r>
    </w:p>
    <w:p>
      <w:pPr>
        <w:spacing w:after="0" w:line="263" w:lineRule="exact"/>
        <w:rPr>
          <w:sz w:val="20"/>
          <w:szCs w:val="20"/>
          <w:color w:val="auto"/>
        </w:rPr>
      </w:pPr>
    </w:p>
    <w:p>
      <w:pPr>
        <w:ind w:firstLine="318"/>
        <w:spacing w:after="0" w:line="293" w:lineRule="auto"/>
        <w:rPr>
          <w:sz w:val="20"/>
          <w:szCs w:val="20"/>
          <w:color w:val="auto"/>
        </w:rPr>
      </w:pPr>
      <w:r>
        <w:rPr>
          <w:rFonts w:ascii="Arial" w:cs="Arial" w:eastAsia="Arial" w:hAnsi="Arial"/>
          <w:sz w:val="15"/>
          <w:szCs w:val="15"/>
          <w:color w:val="3C3C3B"/>
        </w:rPr>
        <w:t>The amendments and modifications to the standards below are applicable for financial years beginning after January 1, 2026, as specified below. GENFIT is in the process of assessing whether the adoption of these amendments and modifications to the standards will have a material impact on the financial statements.</w:t>
      </w:r>
    </w:p>
    <w:p>
      <w:pPr>
        <w:spacing w:after="0" w:line="16" w:lineRule="exact"/>
        <w:rPr>
          <w:sz w:val="20"/>
          <w:szCs w:val="20"/>
          <w:color w:val="auto"/>
        </w:rPr>
      </w:pPr>
    </w:p>
    <w:p>
      <w:pPr>
        <w:ind w:left="520" w:hanging="260"/>
        <w:spacing w:after="0" w:line="293" w:lineRule="auto"/>
        <w:tabs>
          <w:tab w:leader="none" w:pos="504" w:val="left"/>
        </w:tabs>
        <w:numPr>
          <w:ilvl w:val="0"/>
          <w:numId w:val="33"/>
        </w:numPr>
        <w:rPr>
          <w:rFonts w:ascii="Arial" w:cs="Arial" w:eastAsia="Arial" w:hAnsi="Arial"/>
          <w:sz w:val="15"/>
          <w:szCs w:val="15"/>
          <w:color w:val="3C3C3B"/>
        </w:rPr>
      </w:pPr>
      <w:r>
        <w:rPr>
          <w:rFonts w:ascii="Arial" w:cs="Arial" w:eastAsia="Arial" w:hAnsi="Arial"/>
          <w:sz w:val="15"/>
          <w:szCs w:val="15"/>
          <w:color w:val="3C3C3B"/>
        </w:rPr>
        <w:t>Amendments IFRS 9 and IFRS 7 regarding the classification and measurement of financial instruments, effective in 2026 (subject to endorsement by the European Union),</w:t>
      </w:r>
    </w:p>
    <w:p>
      <w:pPr>
        <w:spacing w:after="0" w:line="16" w:lineRule="exact"/>
        <w:rPr>
          <w:rFonts w:ascii="Arial" w:cs="Arial" w:eastAsia="Arial" w:hAnsi="Arial"/>
          <w:sz w:val="15"/>
          <w:szCs w:val="15"/>
          <w:color w:val="3C3C3B"/>
        </w:rPr>
      </w:pPr>
    </w:p>
    <w:p>
      <w:pPr>
        <w:ind w:left="500" w:hanging="240"/>
        <w:spacing w:after="0"/>
        <w:tabs>
          <w:tab w:leader="none" w:pos="500" w:val="left"/>
        </w:tabs>
        <w:numPr>
          <w:ilvl w:val="0"/>
          <w:numId w:val="33"/>
        </w:numPr>
        <w:rPr>
          <w:rFonts w:ascii="Arial" w:cs="Arial" w:eastAsia="Arial" w:hAnsi="Arial"/>
          <w:sz w:val="15"/>
          <w:szCs w:val="15"/>
          <w:color w:val="3C3C3B"/>
        </w:rPr>
      </w:pPr>
      <w:r>
        <w:rPr>
          <w:rFonts w:ascii="Arial" w:cs="Arial" w:eastAsia="Arial" w:hAnsi="Arial"/>
          <w:sz w:val="15"/>
          <w:szCs w:val="15"/>
          <w:color w:val="3C3C3B"/>
        </w:rPr>
        <w:t>Amendments IFRS 9 and IFRS 7 regarding contracts referencing nature-dependent electricity, effective in 2026 (subject to endorsement by the European Union),</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33"/>
        </w:numPr>
        <w:rPr>
          <w:rFonts w:ascii="Arial" w:cs="Arial" w:eastAsia="Arial" w:hAnsi="Arial"/>
          <w:sz w:val="15"/>
          <w:szCs w:val="15"/>
          <w:color w:val="3C3C3B"/>
        </w:rPr>
      </w:pPr>
      <w:r>
        <w:rPr>
          <w:rFonts w:ascii="Arial" w:cs="Arial" w:eastAsia="Arial" w:hAnsi="Arial"/>
          <w:sz w:val="15"/>
          <w:szCs w:val="15"/>
          <w:color w:val="3C3C3B"/>
        </w:rPr>
        <w:t>Annual Improvements to IFRS Accounting Standards — Volume 11, effective in 2026 (subject to endorsement by the European Union), and</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33"/>
        </w:numPr>
        <w:rPr>
          <w:rFonts w:ascii="Arial" w:cs="Arial" w:eastAsia="Arial" w:hAnsi="Arial"/>
          <w:sz w:val="15"/>
          <w:szCs w:val="15"/>
          <w:color w:val="3C3C3B"/>
        </w:rPr>
      </w:pPr>
      <w:r>
        <w:rPr>
          <w:rFonts w:ascii="Arial" w:cs="Arial" w:eastAsia="Arial" w:hAnsi="Arial"/>
          <w:sz w:val="15"/>
          <w:szCs w:val="15"/>
          <w:color w:val="3C3C3B"/>
        </w:rPr>
        <w:t>IFRS 19 Subsidiaries without Public Accountability: Disclosures, effective in 2027 (subject to endorsement by the European Union).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This standard in its current state is likely to have a significant impact on the financial statements:</w:t>
      </w:r>
    </w:p>
    <w:p>
      <w:pPr>
        <w:spacing w:after="0" w:line="93" w:lineRule="exact"/>
        <w:rPr>
          <w:sz w:val="20"/>
          <w:szCs w:val="20"/>
          <w:color w:val="auto"/>
        </w:rPr>
      </w:pPr>
    </w:p>
    <w:p>
      <w:pPr>
        <w:ind w:left="500" w:hanging="240"/>
        <w:spacing w:after="0"/>
        <w:tabs>
          <w:tab w:leader="none" w:pos="500" w:val="left"/>
        </w:tabs>
        <w:numPr>
          <w:ilvl w:val="0"/>
          <w:numId w:val="34"/>
        </w:numPr>
        <w:rPr>
          <w:rFonts w:ascii="Arial" w:cs="Arial" w:eastAsia="Arial" w:hAnsi="Arial"/>
          <w:sz w:val="15"/>
          <w:szCs w:val="15"/>
          <w:color w:val="3C3C3B"/>
        </w:rPr>
      </w:pPr>
      <w:r>
        <w:rPr>
          <w:rFonts w:ascii="Arial" w:cs="Arial" w:eastAsia="Arial" w:hAnsi="Arial"/>
          <w:sz w:val="15"/>
          <w:szCs w:val="15"/>
          <w:color w:val="3C3C3B"/>
        </w:rPr>
        <w:t>IFRS 18 Presentation and Disclosures in Financial Statements, effective in 2027</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However, this standard has not yet been adopted by the European Union and at this stage a comprehensive evaluation is still underway.</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Group has not identified any other standard or amendment that could have a significant impact on the consolidated financial statements.</w:t>
      </w:r>
    </w:p>
    <w:p>
      <w:pPr>
        <w:spacing w:after="0" w:line="277" w:lineRule="exact"/>
        <w:rPr>
          <w:sz w:val="20"/>
          <w:szCs w:val="20"/>
          <w:color w:val="auto"/>
        </w:rPr>
      </w:pPr>
    </w:p>
    <w:p>
      <w:pPr>
        <w:ind w:left="480" w:hanging="474"/>
        <w:spacing w:after="0"/>
        <w:tabs>
          <w:tab w:leader="none" w:pos="480" w:val="left"/>
        </w:tabs>
        <w:numPr>
          <w:ilvl w:val="0"/>
          <w:numId w:val="35"/>
        </w:numPr>
        <w:rPr>
          <w:rFonts w:ascii="Arial" w:cs="Arial" w:eastAsia="Arial" w:hAnsi="Arial"/>
          <w:sz w:val="18"/>
          <w:szCs w:val="18"/>
          <w:b w:val="1"/>
          <w:bCs w:val="1"/>
          <w:color w:val="E99D25"/>
        </w:rPr>
      </w:pPr>
      <w:r>
        <w:rPr>
          <w:rFonts w:ascii="Arial" w:cs="Arial" w:eastAsia="Arial" w:hAnsi="Arial"/>
          <w:sz w:val="18"/>
          <w:szCs w:val="18"/>
          <w:b w:val="1"/>
          <w:bCs w:val="1"/>
          <w:color w:val="E99D25"/>
        </w:rPr>
        <w:t>SUMMARY OF MATERIAL ACCOUNTING INFORMATION</w:t>
      </w:r>
    </w:p>
    <w:p>
      <w:pPr>
        <w:spacing w:after="0" w:line="27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4.1.</w:t>
      </w:r>
      <w:r>
        <w:rPr>
          <w:sz w:val="20"/>
          <w:szCs w:val="20"/>
          <w:color w:val="auto"/>
        </w:rPr>
        <w:tab/>
      </w:r>
      <w:r>
        <w:rPr>
          <w:rFonts w:ascii="Arial" w:cs="Arial" w:eastAsia="Arial" w:hAnsi="Arial"/>
          <w:sz w:val="15"/>
          <w:szCs w:val="15"/>
          <w:b w:val="1"/>
          <w:bCs w:val="1"/>
          <w:color w:val="auto"/>
        </w:rPr>
        <w:t>Use of estimates and judgments</w:t>
      </w:r>
    </w:p>
    <w:p>
      <w:pPr>
        <w:spacing w:after="0" w:line="263" w:lineRule="exact"/>
        <w:rPr>
          <w:sz w:val="20"/>
          <w:szCs w:val="20"/>
          <w:color w:val="auto"/>
        </w:rPr>
      </w:pPr>
    </w:p>
    <w:p>
      <w:pPr>
        <w:ind w:firstLine="318"/>
        <w:spacing w:after="0" w:line="293" w:lineRule="auto"/>
        <w:rPr>
          <w:sz w:val="20"/>
          <w:szCs w:val="20"/>
          <w:color w:val="auto"/>
        </w:rPr>
      </w:pPr>
      <w:r>
        <w:rPr>
          <w:rFonts w:ascii="Arial" w:cs="Arial" w:eastAsia="Arial" w:hAnsi="Arial"/>
          <w:sz w:val="15"/>
          <w:szCs w:val="15"/>
          <w:color w:val="3C3C3B"/>
        </w:rPr>
        <w:t>In preparing these consolidated financial statements, management makes judgments, estimates and assumptions that affect the application of accounting policies and the reported amounts of assets and liabilities, incomes and expenses. Actual amounts may differ from these estimates.</w:t>
      </w:r>
    </w:p>
    <w:p>
      <w:pPr>
        <w:spacing w:after="0" w:line="122" w:lineRule="exact"/>
        <w:rPr>
          <w:sz w:val="20"/>
          <w:szCs w:val="20"/>
          <w:color w:val="auto"/>
        </w:rPr>
      </w:pPr>
    </w:p>
    <w:p>
      <w:pPr>
        <w:ind w:firstLine="318"/>
        <w:spacing w:after="0" w:line="293" w:lineRule="auto"/>
        <w:rPr>
          <w:sz w:val="20"/>
          <w:szCs w:val="20"/>
          <w:color w:val="auto"/>
        </w:rPr>
      </w:pPr>
      <w:r>
        <w:rPr>
          <w:rFonts w:ascii="Arial" w:cs="Arial" w:eastAsia="Arial" w:hAnsi="Arial"/>
          <w:sz w:val="15"/>
          <w:szCs w:val="15"/>
          <w:color w:val="3C3C3B"/>
        </w:rPr>
        <w:t>The estimates and underlying assumptions are reviewed on an ongoing basis. Revisions to accounting estimates are recognized in the period in which the estimates are revised and in any future periods affected.</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estimates and underlying assumptions mainly relate to the following:</w:t>
      </w:r>
    </w:p>
    <w:p>
      <w:pPr>
        <w:spacing w:after="0" w:line="93" w:lineRule="exact"/>
        <w:rPr>
          <w:sz w:val="20"/>
          <w:szCs w:val="20"/>
          <w:color w:val="auto"/>
        </w:rPr>
      </w:pPr>
    </w:p>
    <w:p>
      <w:pPr>
        <w:ind w:left="500" w:hanging="240"/>
        <w:spacing w:after="0"/>
        <w:tabs>
          <w:tab w:leader="none" w:pos="500" w:val="left"/>
        </w:tabs>
        <w:numPr>
          <w:ilvl w:val="0"/>
          <w:numId w:val="36"/>
        </w:numPr>
        <w:rPr>
          <w:rFonts w:ascii="Arial" w:cs="Arial" w:eastAsia="Arial" w:hAnsi="Arial"/>
          <w:sz w:val="15"/>
          <w:szCs w:val="15"/>
          <w:color w:val="3C3C3B"/>
        </w:rPr>
      </w:pPr>
      <w:r>
        <w:rPr>
          <w:rFonts w:ascii="Arial" w:cs="Arial" w:eastAsia="Arial" w:hAnsi="Arial"/>
          <w:sz w:val="15"/>
          <w:szCs w:val="15"/>
          <w:color w:val="3C3C3B"/>
        </w:rPr>
        <w:t xml:space="preserve">Allocation of revenue to performance obligations per the agreement with Ipsen, </w:t>
      </w:r>
      <w:r>
        <w:rPr>
          <w:rFonts w:ascii="Arial" w:cs="Arial" w:eastAsia="Arial" w:hAnsi="Arial"/>
          <w:sz w:val="15"/>
          <w:szCs w:val="15"/>
          <w:u w:val="single" w:color="auto"/>
          <w:color w:val="0000FF"/>
        </w:rPr>
        <w:t>Note 7 - Revenues and other income</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36"/>
        </w:numPr>
        <w:rPr>
          <w:rFonts w:ascii="Arial" w:cs="Arial" w:eastAsia="Arial" w:hAnsi="Arial"/>
          <w:sz w:val="15"/>
          <w:szCs w:val="15"/>
          <w:color w:val="3C3C3B"/>
        </w:rPr>
      </w:pPr>
      <w:r>
        <w:rPr>
          <w:rFonts w:ascii="Arial" w:cs="Arial" w:eastAsia="Arial" w:hAnsi="Arial"/>
          <w:sz w:val="15"/>
          <w:szCs w:val="15"/>
          <w:color w:val="3C3C3B"/>
        </w:rPr>
        <w:t xml:space="preserve">Research tax credits, </w:t>
      </w:r>
      <w:r>
        <w:rPr>
          <w:rFonts w:ascii="Arial" w:cs="Arial" w:eastAsia="Arial" w:hAnsi="Arial"/>
          <w:sz w:val="15"/>
          <w:szCs w:val="15"/>
          <w:u w:val="single" w:color="auto"/>
          <w:color w:val="0000FF"/>
        </w:rPr>
        <w:t>Note 7 - Revenues and other income</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36"/>
        </w:numPr>
        <w:rPr>
          <w:rFonts w:ascii="Arial" w:cs="Arial" w:eastAsia="Arial" w:hAnsi="Arial"/>
          <w:sz w:val="15"/>
          <w:szCs w:val="15"/>
          <w:color w:val="3C3C3B"/>
        </w:rPr>
      </w:pPr>
      <w:r>
        <w:rPr>
          <w:rFonts w:ascii="Arial" w:cs="Arial" w:eastAsia="Arial" w:hAnsi="Arial"/>
          <w:sz w:val="15"/>
          <w:szCs w:val="15"/>
          <w:color w:val="3C3C3B"/>
        </w:rPr>
        <w:t xml:space="preserve">Average tax rate for the annual period, </w:t>
      </w:r>
      <w:r>
        <w:rPr>
          <w:rFonts w:ascii="Arial" w:cs="Arial" w:eastAsia="Arial" w:hAnsi="Arial"/>
          <w:sz w:val="15"/>
          <w:szCs w:val="15"/>
          <w:u w:val="single" w:color="auto"/>
          <w:color w:val="0000FF"/>
        </w:rPr>
        <w:t>Note 10 - Income tax</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36"/>
        </w:numPr>
        <w:rPr>
          <w:rFonts w:ascii="Arial" w:cs="Arial" w:eastAsia="Arial" w:hAnsi="Arial"/>
          <w:sz w:val="15"/>
          <w:szCs w:val="15"/>
          <w:color w:val="3C3C3B"/>
        </w:rPr>
      </w:pPr>
      <w:r>
        <w:rPr>
          <w:rFonts w:ascii="Arial" w:cs="Arial" w:eastAsia="Arial" w:hAnsi="Arial"/>
          <w:sz w:val="15"/>
          <w:szCs w:val="15"/>
          <w:color w:val="3C3C3B"/>
        </w:rPr>
        <w:t xml:space="preserve">Valuation of the VS-01 assets, </w:t>
      </w:r>
      <w:r>
        <w:rPr>
          <w:rFonts w:ascii="Arial" w:cs="Arial" w:eastAsia="Arial" w:hAnsi="Arial"/>
          <w:sz w:val="15"/>
          <w:szCs w:val="15"/>
          <w:u w:val="single" w:color="auto"/>
          <w:color w:val="0000FF"/>
        </w:rPr>
        <w:t>Note 15 - Intangible assets</w:t>
      </w:r>
    </w:p>
    <w:p>
      <w:pPr>
        <w:spacing w:after="0" w:line="92" w:lineRule="exact"/>
        <w:rPr>
          <w:rFonts w:ascii="Arial" w:cs="Arial" w:eastAsia="Arial" w:hAnsi="Arial"/>
          <w:sz w:val="15"/>
          <w:szCs w:val="15"/>
          <w:color w:val="3C3C3B"/>
        </w:rPr>
      </w:pPr>
    </w:p>
    <w:p>
      <w:pPr>
        <w:ind w:left="500" w:hanging="240"/>
        <w:spacing w:after="0"/>
        <w:tabs>
          <w:tab w:leader="none" w:pos="500" w:val="left"/>
        </w:tabs>
        <w:numPr>
          <w:ilvl w:val="0"/>
          <w:numId w:val="36"/>
        </w:numPr>
        <w:rPr>
          <w:rFonts w:ascii="Arial" w:cs="Arial" w:eastAsia="Arial" w:hAnsi="Arial"/>
          <w:sz w:val="15"/>
          <w:szCs w:val="15"/>
          <w:color w:val="3C3C3B"/>
        </w:rPr>
      </w:pPr>
      <w:r>
        <w:rPr>
          <w:rFonts w:ascii="Arial" w:cs="Arial" w:eastAsia="Arial" w:hAnsi="Arial"/>
          <w:sz w:val="15"/>
          <w:szCs w:val="15"/>
          <w:color w:val="3C3C3B"/>
        </w:rPr>
        <w:t xml:space="preserve">Valuation of the SRT-015 license rights, </w:t>
      </w:r>
      <w:r>
        <w:rPr>
          <w:rFonts w:ascii="Arial" w:cs="Arial" w:eastAsia="Arial" w:hAnsi="Arial"/>
          <w:sz w:val="15"/>
          <w:szCs w:val="15"/>
          <w:u w:val="single" w:color="auto"/>
          <w:color w:val="0000FF"/>
        </w:rPr>
        <w:t>Note 15 - Intangible assets</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36"/>
        </w:numPr>
        <w:rPr>
          <w:rFonts w:ascii="Arial" w:cs="Arial" w:eastAsia="Arial" w:hAnsi="Arial"/>
          <w:sz w:val="15"/>
          <w:szCs w:val="15"/>
          <w:color w:val="3C3C3B"/>
        </w:rPr>
      </w:pPr>
      <w:r>
        <w:rPr>
          <w:rFonts w:ascii="Arial" w:cs="Arial" w:eastAsia="Arial" w:hAnsi="Arial"/>
          <w:sz w:val="15"/>
          <w:szCs w:val="15"/>
          <w:color w:val="3C3C3B"/>
        </w:rPr>
        <w:t xml:space="preserve">Valuation of the GNS561 assets, </w:t>
      </w:r>
      <w:r>
        <w:rPr>
          <w:rFonts w:ascii="Arial" w:cs="Arial" w:eastAsia="Arial" w:hAnsi="Arial"/>
          <w:sz w:val="15"/>
          <w:szCs w:val="15"/>
          <w:u w:val="single" w:color="auto"/>
          <w:color w:val="0000FF"/>
        </w:rPr>
        <w:t>Note 15 - Intangible assets</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36"/>
        </w:numPr>
        <w:rPr>
          <w:rFonts w:ascii="Arial" w:cs="Arial" w:eastAsia="Arial" w:hAnsi="Arial"/>
          <w:sz w:val="15"/>
          <w:szCs w:val="15"/>
          <w:color w:val="3C3C3B"/>
        </w:rPr>
      </w:pPr>
      <w:r>
        <w:rPr>
          <w:rFonts w:ascii="Arial" w:cs="Arial" w:eastAsia="Arial" w:hAnsi="Arial"/>
          <w:sz w:val="15"/>
          <w:szCs w:val="15"/>
          <w:color w:val="3C3C3B"/>
        </w:rPr>
        <w:t xml:space="preserve">Valuation of our equity investment in Genoscience, </w:t>
      </w:r>
      <w:r>
        <w:rPr>
          <w:rFonts w:ascii="Arial" w:cs="Arial" w:eastAsia="Arial" w:hAnsi="Arial"/>
          <w:sz w:val="15"/>
          <w:szCs w:val="15"/>
          <w:u w:val="single" w:color="auto"/>
          <w:color w:val="0000FF"/>
        </w:rPr>
        <w:t>Note 16 - Other non-current financial assets</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36"/>
        </w:numPr>
        <w:rPr>
          <w:rFonts w:ascii="Arial" w:cs="Arial" w:eastAsia="Arial" w:hAnsi="Arial"/>
          <w:sz w:val="15"/>
          <w:szCs w:val="15"/>
          <w:color w:val="3C3C3B"/>
        </w:rPr>
      </w:pPr>
      <w:r>
        <w:rPr>
          <w:rFonts w:ascii="Arial" w:cs="Arial" w:eastAsia="Arial" w:hAnsi="Arial"/>
          <w:sz w:val="15"/>
          <w:szCs w:val="15"/>
          <w:color w:val="3C3C3B"/>
        </w:rPr>
        <w:t xml:space="preserve">Convertible loans, </w:t>
      </w:r>
      <w:r>
        <w:rPr>
          <w:rFonts w:ascii="Arial" w:cs="Arial" w:eastAsia="Arial" w:hAnsi="Arial"/>
          <w:sz w:val="15"/>
          <w:szCs w:val="15"/>
          <w:u w:val="single" w:color="auto"/>
          <w:color w:val="0000FF"/>
        </w:rPr>
        <w:t>Note 17 - Loans and borrowings</w:t>
      </w:r>
    </w:p>
    <w:p>
      <w:pPr>
        <w:spacing w:after="0" w:line="92" w:lineRule="exact"/>
        <w:rPr>
          <w:rFonts w:ascii="Arial" w:cs="Arial" w:eastAsia="Arial" w:hAnsi="Arial"/>
          <w:sz w:val="15"/>
          <w:szCs w:val="15"/>
          <w:color w:val="3C3C3B"/>
        </w:rPr>
      </w:pPr>
    </w:p>
    <w:p>
      <w:pPr>
        <w:ind w:left="500" w:hanging="240"/>
        <w:spacing w:after="0"/>
        <w:tabs>
          <w:tab w:leader="none" w:pos="500" w:val="left"/>
        </w:tabs>
        <w:numPr>
          <w:ilvl w:val="0"/>
          <w:numId w:val="36"/>
        </w:numPr>
        <w:rPr>
          <w:rFonts w:ascii="Arial" w:cs="Arial" w:eastAsia="Arial" w:hAnsi="Arial"/>
          <w:sz w:val="15"/>
          <w:szCs w:val="15"/>
          <w:color w:val="3C3C3B"/>
        </w:rPr>
      </w:pPr>
      <w:r>
        <w:rPr>
          <w:rFonts w:ascii="Arial" w:cs="Arial" w:eastAsia="Arial" w:hAnsi="Arial"/>
          <w:sz w:val="15"/>
          <w:szCs w:val="15"/>
          <w:color w:val="3C3C3B"/>
        </w:rPr>
        <w:t xml:space="preserve">Valuation of the Royalty financing, </w:t>
      </w:r>
      <w:r>
        <w:rPr>
          <w:rFonts w:ascii="Arial" w:cs="Arial" w:eastAsia="Arial" w:hAnsi="Arial"/>
          <w:sz w:val="15"/>
          <w:szCs w:val="15"/>
          <w:u w:val="single" w:color="auto"/>
          <w:color w:val="0000FF"/>
        </w:rPr>
        <w:t>Note 17 - Loans and borrowings</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36"/>
        </w:numPr>
        <w:rPr>
          <w:rFonts w:ascii="Arial" w:cs="Arial" w:eastAsia="Arial" w:hAnsi="Arial"/>
          <w:sz w:val="15"/>
          <w:szCs w:val="15"/>
          <w:color w:val="3C3C3B"/>
        </w:rPr>
      </w:pPr>
      <w:r>
        <w:rPr>
          <w:rFonts w:ascii="Arial" w:cs="Arial" w:eastAsia="Arial" w:hAnsi="Arial"/>
          <w:sz w:val="15"/>
          <w:szCs w:val="15"/>
          <w:color w:val="3C3C3B"/>
        </w:rPr>
        <w:t xml:space="preserve">Accruals related to clinical trials, </w:t>
      </w:r>
      <w:r>
        <w:rPr>
          <w:rFonts w:ascii="Arial" w:cs="Arial" w:eastAsia="Arial" w:hAnsi="Arial"/>
          <w:sz w:val="15"/>
          <w:szCs w:val="15"/>
          <w:u w:val="single" w:color="auto"/>
          <w:color w:val="0000FF"/>
        </w:rPr>
        <w:t>Note 18 - Current trade and other payables</w:t>
      </w:r>
    </w:p>
    <w:p>
      <w:pPr>
        <w:spacing w:after="0" w:line="281"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rFonts w:ascii="Arial" w:cs="Arial" w:eastAsia="Arial" w:hAnsi="Arial"/>
          <w:sz w:val="15"/>
          <w:szCs w:val="15"/>
          <w:b w:val="1"/>
          <w:bCs w:val="1"/>
          <w:color w:val="auto"/>
        </w:rPr>
        <w:t>Consolidation</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Going concern</w:t>
      </w:r>
    </w:p>
    <w:p>
      <w:pPr>
        <w:spacing w:after="0" w:line="18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5"/>
          <w:szCs w:val="15"/>
          <w:color w:val="3C3C3B"/>
        </w:rPr>
        <w:t>The consolidated financial statements were prepared on a going concern basis. The Group believes it has sufficient resources to continue operating for at least twelve months following the consolidated financial statements’ publication.</w:t>
      </w:r>
    </w:p>
    <w:p>
      <w:pPr>
        <w:spacing w:after="0" w:line="136"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5"/>
          <w:szCs w:val="15"/>
          <w:color w:val="3C3C3B"/>
        </w:rPr>
        <w:t>When assessing going concern, the Group’s Board of Directors considers the liquidity available at the statement of financial position date, milestones whose collection is considered highly probable, the cash spend projections for the next 12-month period as from the date of the financial statements are issued, and the availability of other funding.</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Consolidated entities</w:t>
      </w:r>
    </w:p>
    <w:p>
      <w:pPr>
        <w:spacing w:after="0" w:line="185"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The Group controls an entity when it is exposed to variable returns from its involvement with the entity, and it has the ability to affect those returns through its power over the entity.</w:t>
      </w:r>
    </w:p>
    <w:p>
      <w:pPr>
        <w:spacing w:after="0" w:line="272"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9"/>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22</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28" w:name="page29"/>
    <w:bookmarkEnd w:id="28"/>
    <w:p>
      <w:pPr>
        <w:ind w:left="320"/>
        <w:spacing w:after="0"/>
        <w:rPr>
          <w:sz w:val="20"/>
          <w:szCs w:val="20"/>
          <w:color w:val="auto"/>
        </w:rPr>
      </w:pPr>
      <w:r>
        <w:rPr>
          <w:rFonts w:ascii="Arial" w:cs="Arial" w:eastAsia="Arial" w:hAnsi="Arial"/>
          <w:sz w:val="15"/>
          <w:szCs w:val="15"/>
          <w:color w:val="auto"/>
        </w:rPr>
        <w:t>The Group controls all the entities included in the scope of consolidation.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Accounting policies</w:t>
      </w:r>
    </w:p>
    <w:p>
      <w:pPr>
        <w:spacing w:after="0" w:line="185"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auto"/>
        </w:rPr>
        <w:t>The accounting policies used for these interim consolidated financial statements are the same as those used for the most recent consolidated annual financial statements.</w:t>
      </w:r>
    </w:p>
    <w:p>
      <w:pPr>
        <w:spacing w:after="0" w:line="205"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b w:val="1"/>
          <w:bCs w:val="1"/>
          <w:color w:val="auto"/>
        </w:rPr>
        <w:t>4.3.</w:t>
      </w:r>
      <w:r>
        <w:rPr>
          <w:sz w:val="20"/>
          <w:szCs w:val="20"/>
          <w:color w:val="auto"/>
        </w:rPr>
        <w:tab/>
      </w:r>
      <w:r>
        <w:rPr>
          <w:rFonts w:ascii="Arial" w:cs="Arial" w:eastAsia="Arial" w:hAnsi="Arial"/>
          <w:sz w:val="15"/>
          <w:szCs w:val="15"/>
          <w:b w:val="1"/>
          <w:bCs w:val="1"/>
          <w:color w:val="auto"/>
        </w:rPr>
        <w:t>Foreign currency</w:t>
      </w:r>
    </w:p>
    <w:p>
      <w:pPr>
        <w:spacing w:after="0" w:line="277"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Presentation currency</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Group's presentation currency is the euro.</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Foreign currency transactions</w:t>
      </w:r>
    </w:p>
    <w:p>
      <w:pPr>
        <w:spacing w:after="0" w:line="185"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Transactions in foreign currencies are translated into the respective functional currencies of the entities of the Group at the exchange rates applicable at the transaction dates. Monetary assets and liabilities denominated in foreign currencies are translated into the functional currency at the reporting date.</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resulting exchange gains or losses are recognized in the statements of operations.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Translation of foreign subsidiary financial statements</w:t>
      </w:r>
    </w:p>
    <w:p>
      <w:pPr>
        <w:spacing w:after="0" w:line="18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3C3C3B"/>
        </w:rPr>
        <w:t>The assets and liabilities of foreign operations having a functional currency different from the euro are translated into euros at the closing exchange rate. The income and expenses of foreign operations are translated into euros at the exchange rates effective at the transaction dates or using the average exchange rate for the reporting period unless this method cannot be applied due to significant exchange rate fluctuations.</w:t>
      </w:r>
    </w:p>
    <w:p>
      <w:pPr>
        <w:spacing w:after="0" w:line="14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5"/>
          <w:szCs w:val="15"/>
          <w:color w:val="3C3C3B"/>
        </w:rPr>
        <w:t>Gains and losses arising from foreign operations are recognized in the statement of other comprehensive loss. When a foreign operation is partly or fully divested, the associated share of gains and losses recognized in the currency translation reserve is transferred to the statements of operations.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Functional currencies and exchanges rates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functional currency of GENFIT S.A. is the euro.</w:t>
      </w:r>
    </w:p>
    <w:p>
      <w:pPr>
        <w:spacing w:after="0" w:line="185"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The functional currency of GENFIT CORP is the U.S. dollar. The applicable exchange rates used to translate the financial statements of this entity for each of the periods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60" w:type="dxa"/>
            <w:vAlign w:val="bottom"/>
          </w:tcPr>
          <w:p>
            <w:pPr>
              <w:spacing w:after="0"/>
              <w:rPr>
                <w:sz w:val="14"/>
                <w:szCs w:val="14"/>
                <w:color w:val="auto"/>
              </w:rPr>
            </w:pPr>
          </w:p>
        </w:tc>
        <w:tc>
          <w:tcPr>
            <w:tcW w:w="2160" w:type="dxa"/>
            <w:vAlign w:val="bottom"/>
          </w:tcPr>
          <w:p>
            <w:pPr>
              <w:ind w:left="1180"/>
              <w:spacing w:after="0"/>
              <w:rPr>
                <w:sz w:val="20"/>
                <w:szCs w:val="20"/>
                <w:color w:val="auto"/>
              </w:rPr>
            </w:pPr>
            <w:r>
              <w:rPr>
                <w:rFonts w:ascii="Arial" w:cs="Arial" w:eastAsia="Arial" w:hAnsi="Arial"/>
                <w:sz w:val="12"/>
                <w:szCs w:val="12"/>
                <w:b w:val="1"/>
                <w:bCs w:val="1"/>
                <w:color w:val="3C3C3B"/>
              </w:rPr>
              <w:t>Half-year ended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ind w:left="20"/>
              <w:spacing w:after="0"/>
              <w:rPr>
                <w:sz w:val="20"/>
                <w:szCs w:val="20"/>
                <w:color w:val="auto"/>
              </w:rPr>
            </w:pPr>
            <w:r>
              <w:rPr>
                <w:rFonts w:ascii="Arial" w:cs="Arial" w:eastAsia="Arial" w:hAnsi="Arial"/>
                <w:sz w:val="12"/>
                <w:szCs w:val="12"/>
                <w:b w:val="1"/>
                <w:bCs w:val="1"/>
                <w:color w:val="3C3C3B"/>
              </w:rPr>
              <w:t>Ratio : 1 US dollars (USD) = x euros (EUR)</w:t>
            </w:r>
          </w:p>
        </w:tc>
        <w:tc>
          <w:tcPr>
            <w:tcW w:w="2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960" w:type="dxa"/>
            <w:vAlign w:val="bottom"/>
            <w:vMerge w:val="continue"/>
          </w:tcPr>
          <w:p>
            <w:pPr>
              <w:spacing w:after="0"/>
              <w:rPr>
                <w:sz w:val="14"/>
                <w:szCs w:val="14"/>
                <w:color w:val="auto"/>
              </w:rPr>
            </w:pPr>
          </w:p>
        </w:tc>
        <w:tc>
          <w:tcPr>
            <w:tcW w:w="2160" w:type="dxa"/>
            <w:vAlign w:val="bottom"/>
          </w:tcPr>
          <w:p>
            <w:pPr>
              <w:jc w:val="right"/>
              <w:ind w:right="918"/>
              <w:spacing w:after="0"/>
              <w:rPr>
                <w:sz w:val="20"/>
                <w:szCs w:val="20"/>
                <w:color w:val="auto"/>
              </w:rPr>
            </w:pPr>
            <w:r>
              <w:rPr>
                <w:rFonts w:ascii="Arial" w:cs="Arial" w:eastAsia="Arial" w:hAnsi="Arial"/>
                <w:sz w:val="12"/>
                <w:szCs w:val="12"/>
                <w:b w:val="1"/>
                <w:bCs w:val="1"/>
                <w:color w:val="3C3C3B"/>
              </w:rPr>
              <w:t>2024/06/30</w:t>
            </w:r>
          </w:p>
        </w:tc>
        <w:tc>
          <w:tcPr>
            <w:tcW w:w="1100" w:type="dxa"/>
            <w:vAlign w:val="bottom"/>
          </w:tcPr>
          <w:p>
            <w:pPr>
              <w:jc w:val="right"/>
              <w:ind w:right="378"/>
              <w:spacing w:after="0"/>
              <w:rPr>
                <w:sz w:val="20"/>
                <w:szCs w:val="20"/>
                <w:color w:val="auto"/>
              </w:rPr>
            </w:pPr>
            <w:r>
              <w:rPr>
                <w:rFonts w:ascii="Arial" w:cs="Arial" w:eastAsia="Arial" w:hAnsi="Arial"/>
                <w:sz w:val="12"/>
                <w:szCs w:val="12"/>
                <w:b w:val="1"/>
                <w:bCs w:val="1"/>
                <w:color w:val="3C3C3B"/>
              </w:rPr>
              <w:t>2025/06/30</w:t>
            </w:r>
          </w:p>
        </w:tc>
        <w:tc>
          <w:tcPr>
            <w:tcW w:w="0" w:type="dxa"/>
            <w:vAlign w:val="bottom"/>
          </w:tcPr>
          <w:p>
            <w:pPr>
              <w:spacing w:after="0"/>
              <w:rPr>
                <w:sz w:val="1"/>
                <w:szCs w:val="1"/>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9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Exchange rate at period end</w:t>
            </w:r>
          </w:p>
        </w:tc>
        <w:tc>
          <w:tcPr>
            <w:tcW w:w="2160" w:type="dxa"/>
            <w:vAlign w:val="bottom"/>
            <w:tcBorders>
              <w:bottom w:val="single" w:sz="8" w:color="FDF5E7"/>
            </w:tcBorders>
            <w:shd w:val="clear" w:color="auto" w:fill="FDF5E7"/>
          </w:tcPr>
          <w:p>
            <w:pPr>
              <w:ind w:left="1180"/>
              <w:spacing w:after="0"/>
              <w:rPr>
                <w:sz w:val="20"/>
                <w:szCs w:val="20"/>
                <w:color w:val="auto"/>
              </w:rPr>
            </w:pPr>
            <w:r>
              <w:rPr>
                <w:rFonts w:ascii="Arial" w:cs="Arial" w:eastAsia="Arial" w:hAnsi="Arial"/>
                <w:sz w:val="12"/>
                <w:szCs w:val="12"/>
                <w:color w:val="auto"/>
              </w:rPr>
              <w:t>0.93414</w:t>
            </w:r>
          </w:p>
        </w:tc>
        <w:tc>
          <w:tcPr>
            <w:tcW w:w="110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0.85324</w:t>
            </w:r>
          </w:p>
        </w:tc>
        <w:tc>
          <w:tcPr>
            <w:tcW w:w="0" w:type="dxa"/>
            <w:vAlign w:val="bottom"/>
          </w:tcPr>
          <w:p>
            <w:pPr>
              <w:spacing w:after="0"/>
              <w:rPr>
                <w:sz w:val="1"/>
                <w:szCs w:val="1"/>
                <w:color w:val="auto"/>
              </w:rPr>
            </w:pPr>
          </w:p>
        </w:tc>
      </w:tr>
      <w:tr>
        <w:trPr>
          <w:trHeight w:val="172"/>
        </w:trPr>
        <w:tc>
          <w:tcPr>
            <w:tcW w:w="7960" w:type="dxa"/>
            <w:vAlign w:val="bottom"/>
          </w:tcPr>
          <w:p>
            <w:pPr>
              <w:ind w:left="20"/>
              <w:spacing w:after="0"/>
              <w:rPr>
                <w:sz w:val="20"/>
                <w:szCs w:val="20"/>
                <w:color w:val="auto"/>
              </w:rPr>
            </w:pPr>
            <w:r>
              <w:rPr>
                <w:rFonts w:ascii="Arial" w:cs="Arial" w:eastAsia="Arial" w:hAnsi="Arial"/>
                <w:sz w:val="12"/>
                <w:szCs w:val="12"/>
                <w:color w:val="3C3C3B"/>
              </w:rPr>
              <w:t>Average exchange rate for the period</w:t>
            </w:r>
          </w:p>
        </w:tc>
        <w:tc>
          <w:tcPr>
            <w:tcW w:w="2160" w:type="dxa"/>
            <w:vAlign w:val="bottom"/>
          </w:tcPr>
          <w:p>
            <w:pPr>
              <w:ind w:left="1180"/>
              <w:spacing w:after="0"/>
              <w:rPr>
                <w:sz w:val="20"/>
                <w:szCs w:val="20"/>
                <w:color w:val="auto"/>
              </w:rPr>
            </w:pPr>
            <w:r>
              <w:rPr>
                <w:rFonts w:ascii="Arial" w:cs="Arial" w:eastAsia="Arial" w:hAnsi="Arial"/>
                <w:sz w:val="12"/>
                <w:szCs w:val="12"/>
                <w:color w:val="auto"/>
              </w:rPr>
              <w:t>0.92490</w:t>
            </w:r>
          </w:p>
        </w:tc>
        <w:tc>
          <w:tcPr>
            <w:tcW w:w="1100" w:type="dxa"/>
            <w:vAlign w:val="bottom"/>
          </w:tcPr>
          <w:p>
            <w:pPr>
              <w:jc w:val="right"/>
              <w:spacing w:after="0"/>
              <w:rPr>
                <w:sz w:val="20"/>
                <w:szCs w:val="20"/>
                <w:color w:val="auto"/>
              </w:rPr>
            </w:pPr>
            <w:r>
              <w:rPr>
                <w:rFonts w:ascii="Arial" w:cs="Arial" w:eastAsia="Arial" w:hAnsi="Arial"/>
                <w:sz w:val="12"/>
                <w:szCs w:val="12"/>
                <w:color w:val="auto"/>
              </w:rPr>
              <w:t>0.91649</w:t>
            </w:r>
          </w:p>
        </w:tc>
        <w:tc>
          <w:tcPr>
            <w:tcW w:w="0" w:type="dxa"/>
            <w:vAlign w:val="bottom"/>
          </w:tcPr>
          <w:p>
            <w:pPr>
              <w:spacing w:after="0"/>
              <w:rPr>
                <w:sz w:val="1"/>
                <w:szCs w:val="1"/>
                <w:color w:val="auto"/>
              </w:rPr>
            </w:pPr>
          </w:p>
        </w:tc>
      </w:tr>
      <w:tr>
        <w:trPr>
          <w:trHeight w:val="26"/>
        </w:trPr>
        <w:tc>
          <w:tcPr>
            <w:tcW w:w="79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The functional currency of Versantis AG is the Swiss Franc. The applicable exchange rates used to translate the financial statements of this entity for each of the periods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ind w:left="1100"/>
              <w:spacing w:after="0"/>
              <w:rPr>
                <w:sz w:val="20"/>
                <w:szCs w:val="20"/>
                <w:color w:val="auto"/>
              </w:rPr>
            </w:pPr>
            <w:r>
              <w:rPr>
                <w:rFonts w:ascii="Arial" w:cs="Arial" w:eastAsia="Arial" w:hAnsi="Arial"/>
                <w:sz w:val="12"/>
                <w:szCs w:val="12"/>
                <w:b w:val="1"/>
                <w:bCs w:val="1"/>
                <w:color w:val="242424"/>
              </w:rPr>
              <w:t>Half-year ended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Ratio : 1 CH franc (CHF) = x euros (EUR)</w:t>
            </w:r>
          </w:p>
        </w:tc>
        <w:tc>
          <w:tcPr>
            <w:tcW w:w="100" w:type="dxa"/>
            <w:vAlign w:val="bottom"/>
          </w:tcPr>
          <w:p>
            <w:pPr>
              <w:spacing w:after="0" w:line="20" w:lineRule="exact"/>
              <w:rPr>
                <w:sz w:val="1"/>
                <w:szCs w:val="1"/>
                <w:color w:val="auto"/>
              </w:rPr>
            </w:pPr>
          </w:p>
        </w:tc>
        <w:tc>
          <w:tcPr>
            <w:tcW w:w="2040" w:type="dxa"/>
            <w:vAlign w:val="bottom"/>
            <w:tcBorders>
              <w:bottom w:val="single" w:sz="8" w:color="242424"/>
            </w:tcBorders>
          </w:tcPr>
          <w:p>
            <w:pPr>
              <w:spacing w:after="0" w:line="20" w:lineRule="exact"/>
              <w:rPr>
                <w:sz w:val="1"/>
                <w:szCs w:val="1"/>
                <w:color w:val="auto"/>
              </w:rPr>
            </w:pPr>
          </w:p>
        </w:tc>
        <w:tc>
          <w:tcPr>
            <w:tcW w:w="1100" w:type="dxa"/>
            <w:vAlign w:val="bottom"/>
            <w:tcBorders>
              <w:bottom w:val="single" w:sz="8" w:color="24242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980" w:type="dxa"/>
            <w:vAlign w:val="bottom"/>
            <w:vMerge w:val="continue"/>
          </w:tcPr>
          <w:p>
            <w:pPr>
              <w:spacing w:after="0"/>
              <w:rPr>
                <w:sz w:val="14"/>
                <w:szCs w:val="14"/>
                <w:color w:val="auto"/>
              </w:rPr>
            </w:pPr>
          </w:p>
        </w:tc>
        <w:tc>
          <w:tcPr>
            <w:tcW w:w="2140" w:type="dxa"/>
            <w:vAlign w:val="bottom"/>
            <w:gridSpan w:val="2"/>
          </w:tcPr>
          <w:p>
            <w:pPr>
              <w:jc w:val="right"/>
              <w:ind w:right="898"/>
              <w:spacing w:after="0"/>
              <w:rPr>
                <w:sz w:val="20"/>
                <w:szCs w:val="20"/>
                <w:color w:val="auto"/>
              </w:rPr>
            </w:pPr>
            <w:r>
              <w:rPr>
                <w:rFonts w:ascii="Arial" w:cs="Arial" w:eastAsia="Arial" w:hAnsi="Arial"/>
                <w:sz w:val="12"/>
                <w:szCs w:val="12"/>
                <w:b w:val="1"/>
                <w:bCs w:val="1"/>
                <w:color w:val="242424"/>
              </w:rPr>
              <w:t>2024/06/30</w:t>
            </w:r>
          </w:p>
        </w:tc>
        <w:tc>
          <w:tcPr>
            <w:tcW w:w="1100" w:type="dxa"/>
            <w:vAlign w:val="bottom"/>
          </w:tcPr>
          <w:p>
            <w:pPr>
              <w:jc w:val="right"/>
              <w:ind w:right="418"/>
              <w:spacing w:after="0"/>
              <w:rPr>
                <w:sz w:val="20"/>
                <w:szCs w:val="20"/>
                <w:color w:val="auto"/>
              </w:rPr>
            </w:pPr>
            <w:r>
              <w:rPr>
                <w:rFonts w:ascii="Arial" w:cs="Arial" w:eastAsia="Arial" w:hAnsi="Arial"/>
                <w:sz w:val="12"/>
                <w:szCs w:val="12"/>
                <w:b w:val="1"/>
                <w:bCs w:val="1"/>
                <w:color w:val="242424"/>
                <w:w w:val="99"/>
              </w:rPr>
              <w:t>2025/06/30</w:t>
            </w:r>
          </w:p>
        </w:tc>
        <w:tc>
          <w:tcPr>
            <w:tcW w:w="0" w:type="dxa"/>
            <w:vAlign w:val="bottom"/>
          </w:tcPr>
          <w:p>
            <w:pPr>
              <w:spacing w:after="0"/>
              <w:rPr>
                <w:sz w:val="1"/>
                <w:szCs w:val="1"/>
                <w:color w:val="auto"/>
              </w:rPr>
            </w:pPr>
          </w:p>
        </w:tc>
      </w:tr>
      <w:tr>
        <w:trPr>
          <w:trHeight w:val="20"/>
        </w:trPr>
        <w:tc>
          <w:tcPr>
            <w:tcW w:w="7980" w:type="dxa"/>
            <w:vAlign w:val="bottom"/>
            <w:tcBorders>
              <w:bottom w:val="single" w:sz="8" w:color="FDF5E7"/>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98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242424"/>
              </w:rPr>
              <w:t>Exchange rate at period end</w:t>
            </w:r>
          </w:p>
        </w:tc>
        <w:tc>
          <w:tcPr>
            <w:tcW w:w="2140" w:type="dxa"/>
            <w:vAlign w:val="bottom"/>
            <w:tcBorders>
              <w:bottom w:val="single" w:sz="8" w:color="FDF5E7"/>
            </w:tcBorders>
            <w:gridSpan w:val="2"/>
            <w:shd w:val="clear" w:color="auto" w:fill="FDF5E7"/>
          </w:tcPr>
          <w:p>
            <w:pPr>
              <w:ind w:left="1200"/>
              <w:spacing w:after="0"/>
              <w:rPr>
                <w:sz w:val="20"/>
                <w:szCs w:val="20"/>
                <w:color w:val="auto"/>
              </w:rPr>
            </w:pPr>
            <w:r>
              <w:rPr>
                <w:rFonts w:ascii="Arial" w:cs="Arial" w:eastAsia="Arial" w:hAnsi="Arial"/>
                <w:sz w:val="12"/>
                <w:szCs w:val="12"/>
                <w:color w:val="242424"/>
              </w:rPr>
              <w:t>1.03799</w:t>
            </w:r>
          </w:p>
        </w:tc>
        <w:tc>
          <w:tcPr>
            <w:tcW w:w="110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242424"/>
              </w:rPr>
              <w:t>1.06986</w:t>
            </w:r>
          </w:p>
        </w:tc>
        <w:tc>
          <w:tcPr>
            <w:tcW w:w="0" w:type="dxa"/>
            <w:vAlign w:val="bottom"/>
          </w:tcPr>
          <w:p>
            <w:pPr>
              <w:spacing w:after="0"/>
              <w:rPr>
                <w:sz w:val="1"/>
                <w:szCs w:val="1"/>
                <w:color w:val="auto"/>
              </w:rPr>
            </w:pPr>
          </w:p>
        </w:tc>
      </w:tr>
      <w:tr>
        <w:trPr>
          <w:trHeight w:val="173"/>
        </w:trPr>
        <w:tc>
          <w:tcPr>
            <w:tcW w:w="7980" w:type="dxa"/>
            <w:vAlign w:val="bottom"/>
          </w:tcPr>
          <w:p>
            <w:pPr>
              <w:ind w:left="20"/>
              <w:spacing w:after="0"/>
              <w:rPr>
                <w:sz w:val="20"/>
                <w:szCs w:val="20"/>
                <w:color w:val="auto"/>
              </w:rPr>
            </w:pPr>
            <w:r>
              <w:rPr>
                <w:rFonts w:ascii="Arial" w:cs="Arial" w:eastAsia="Arial" w:hAnsi="Arial"/>
                <w:sz w:val="12"/>
                <w:szCs w:val="12"/>
                <w:color w:val="242424"/>
              </w:rPr>
              <w:t>Average exchange rate for the period</w:t>
            </w:r>
          </w:p>
        </w:tc>
        <w:tc>
          <w:tcPr>
            <w:tcW w:w="2140" w:type="dxa"/>
            <w:vAlign w:val="bottom"/>
            <w:gridSpan w:val="2"/>
          </w:tcPr>
          <w:p>
            <w:pPr>
              <w:ind w:left="1200"/>
              <w:spacing w:after="0"/>
              <w:rPr>
                <w:sz w:val="20"/>
                <w:szCs w:val="20"/>
                <w:color w:val="auto"/>
              </w:rPr>
            </w:pPr>
            <w:r>
              <w:rPr>
                <w:rFonts w:ascii="Arial" w:cs="Arial" w:eastAsia="Arial" w:hAnsi="Arial"/>
                <w:sz w:val="12"/>
                <w:szCs w:val="12"/>
                <w:color w:val="242424"/>
              </w:rPr>
              <w:t>1.04035</w:t>
            </w:r>
          </w:p>
        </w:tc>
        <w:tc>
          <w:tcPr>
            <w:tcW w:w="1100" w:type="dxa"/>
            <w:vAlign w:val="bottom"/>
          </w:tcPr>
          <w:p>
            <w:pPr>
              <w:jc w:val="right"/>
              <w:spacing w:after="0"/>
              <w:rPr>
                <w:sz w:val="20"/>
                <w:szCs w:val="20"/>
                <w:color w:val="auto"/>
              </w:rPr>
            </w:pPr>
            <w:r>
              <w:rPr>
                <w:rFonts w:ascii="Arial" w:cs="Arial" w:eastAsia="Arial" w:hAnsi="Arial"/>
                <w:sz w:val="12"/>
                <w:szCs w:val="12"/>
                <w:color w:val="242424"/>
              </w:rPr>
              <w:t>1.06237</w:t>
            </w:r>
          </w:p>
        </w:tc>
        <w:tc>
          <w:tcPr>
            <w:tcW w:w="0" w:type="dxa"/>
            <w:vAlign w:val="bottom"/>
          </w:tcPr>
          <w:p>
            <w:pPr>
              <w:spacing w:after="0"/>
              <w:rPr>
                <w:sz w:val="1"/>
                <w:szCs w:val="1"/>
                <w:color w:val="auto"/>
              </w:rPr>
            </w:pPr>
          </w:p>
        </w:tc>
      </w:tr>
      <w:tr>
        <w:trPr>
          <w:trHeight w:val="26"/>
        </w:trPr>
        <w:tc>
          <w:tcPr>
            <w:tcW w:w="7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ind w:left="480" w:hanging="474"/>
        <w:spacing w:after="0"/>
        <w:tabs>
          <w:tab w:leader="none" w:pos="480" w:val="left"/>
        </w:tabs>
        <w:numPr>
          <w:ilvl w:val="0"/>
          <w:numId w:val="37"/>
        </w:numPr>
        <w:rPr>
          <w:rFonts w:ascii="Arial" w:cs="Arial" w:eastAsia="Arial" w:hAnsi="Arial"/>
          <w:sz w:val="16"/>
          <w:szCs w:val="16"/>
          <w:b w:val="1"/>
          <w:bCs w:val="1"/>
          <w:color w:val="E99D25"/>
        </w:rPr>
      </w:pPr>
      <w:r>
        <w:rPr>
          <w:rFonts w:ascii="Arial" w:cs="Arial" w:eastAsia="Arial" w:hAnsi="Arial"/>
          <w:sz w:val="16"/>
          <w:szCs w:val="16"/>
          <w:b w:val="1"/>
          <w:bCs w:val="1"/>
          <w:color w:val="E99D25"/>
        </w:rPr>
        <w:t>SEGMENT INFORMATION</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Segments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w:t>
      </w:r>
      <w:r>
        <w:rPr>
          <w:rFonts w:ascii="Arial" w:cs="Arial" w:eastAsia="Arial" w:hAnsi="Arial"/>
          <w:sz w:val="15"/>
          <w:szCs w:val="15"/>
          <w:color w:val="3C3C3B"/>
        </w:rPr>
        <w:t>he Board of Directors and Chief Executive Officer are the chief operating decision makers.</w:t>
      </w:r>
    </w:p>
    <w:p>
      <w:pPr>
        <w:spacing w:after="0" w:line="185" w:lineRule="exact"/>
        <w:rPr>
          <w:sz w:val="20"/>
          <w:szCs w:val="20"/>
          <w:color w:val="auto"/>
        </w:rPr>
      </w:pPr>
    </w:p>
    <w:p>
      <w:pPr>
        <w:ind w:firstLine="318"/>
        <w:spacing w:after="0" w:line="274" w:lineRule="auto"/>
        <w:rPr>
          <w:sz w:val="20"/>
          <w:szCs w:val="20"/>
          <w:color w:val="auto"/>
        </w:rPr>
      </w:pPr>
      <w:r>
        <w:rPr>
          <w:rFonts w:ascii="Arial" w:cs="Arial" w:eastAsia="Arial" w:hAnsi="Arial"/>
          <w:sz w:val="15"/>
          <w:szCs w:val="15"/>
          <w:color w:val="3C3C3B"/>
        </w:rPr>
        <w:t>The Board of Directors and the Chief Executive Officer oversee the operations and manage the business as one segment with a single activity; namely, the research and development of innovative medicines and diagnostic solutions, the marketing of which depends on the success of the clinical development phase.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9"/>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23</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20" w:type="dxa"/>
            <w:vAlign w:val="bottom"/>
            <w:gridSpan w:val="2"/>
          </w:tcPr>
          <w:p>
            <w:pPr>
              <w:spacing w:after="0"/>
              <w:rPr>
                <w:sz w:val="20"/>
                <w:szCs w:val="20"/>
                <w:color w:val="auto"/>
              </w:rPr>
            </w:pPr>
            <w:r>
              <w:rPr>
                <w:rFonts w:ascii="Arial" w:cs="Arial" w:eastAsia="Arial" w:hAnsi="Arial"/>
                <w:sz w:val="12"/>
                <w:szCs w:val="12"/>
                <w:b w:val="1"/>
                <w:bCs w:val="1"/>
                <w:color w:val="auto"/>
              </w:rPr>
              <w:t>Revenue by geographical area</w:t>
            </w:r>
          </w:p>
        </w:tc>
        <w:tc>
          <w:tcPr>
            <w:tcW w:w="2780" w:type="dxa"/>
            <w:vAlign w:val="bottom"/>
          </w:tcPr>
          <w:p>
            <w:pPr>
              <w:jc w:val="right"/>
              <w:ind w:right="318"/>
              <w:spacing w:after="0"/>
              <w:rPr>
                <w:sz w:val="20"/>
                <w:szCs w:val="20"/>
                <w:color w:val="auto"/>
              </w:rPr>
            </w:pPr>
            <w:r>
              <w:rPr>
                <w:rFonts w:ascii="Arial" w:cs="Arial" w:eastAsia="Arial" w:hAnsi="Arial"/>
                <w:sz w:val="12"/>
                <w:szCs w:val="12"/>
                <w:b w:val="1"/>
                <w:bCs w:val="1"/>
                <w:color w:val="auto"/>
              </w:rPr>
              <w:t>Half-year ended</w:t>
            </w:r>
          </w:p>
        </w:tc>
        <w:tc>
          <w:tcPr>
            <w:tcW w:w="1000" w:type="dxa"/>
            <w:vAlign w:val="bottom"/>
          </w:tcPr>
          <w:p>
            <w:pPr>
              <w:spacing w:after="0"/>
              <w:rPr>
                <w:sz w:val="12"/>
                <w:szCs w:val="12"/>
                <w:color w:val="auto"/>
              </w:rPr>
            </w:pPr>
          </w:p>
        </w:tc>
      </w:tr>
      <w:tr>
        <w:trPr>
          <w:trHeight w:val="33"/>
        </w:trPr>
        <w:tc>
          <w:tcPr>
            <w:tcW w:w="20" w:type="dxa"/>
            <w:vAlign w:val="bottom"/>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564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2"/>
        </w:trPr>
        <w:tc>
          <w:tcPr>
            <w:tcW w:w="2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Arial" w:cs="Arial" w:eastAsia="Arial" w:hAnsi="Arial"/>
                <w:sz w:val="12"/>
                <w:szCs w:val="12"/>
                <w:i w:val="1"/>
                <w:iCs w:val="1"/>
                <w:color w:val="auto"/>
              </w:rPr>
              <w:t>(in € thousands)</w:t>
            </w:r>
          </w:p>
        </w:tc>
        <w:tc>
          <w:tcPr>
            <w:tcW w:w="2780" w:type="dxa"/>
            <w:vAlign w:val="bottom"/>
          </w:tcPr>
          <w:p>
            <w:pPr>
              <w:jc w:val="right"/>
              <w:ind w:right="798"/>
              <w:spacing w:after="0"/>
              <w:rPr>
                <w:sz w:val="20"/>
                <w:szCs w:val="20"/>
                <w:color w:val="auto"/>
              </w:rPr>
            </w:pPr>
            <w:r>
              <w:rPr>
                <w:rFonts w:ascii="Arial" w:cs="Arial" w:eastAsia="Arial" w:hAnsi="Arial"/>
                <w:sz w:val="12"/>
                <w:szCs w:val="12"/>
                <w:b w:val="1"/>
                <w:bCs w:val="1"/>
                <w:color w:val="auto"/>
              </w:rPr>
              <w:t>2024/06/30</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tcBorders>
              <w:bottom w:val="single" w:sz="8" w:color="FDF5E7"/>
            </w:tcBorders>
            <w:shd w:val="clear" w:color="auto" w:fill="FDF5E7"/>
          </w:tcPr>
          <w:p>
            <w:pPr>
              <w:spacing w:after="0"/>
              <w:rPr>
                <w:sz w:val="14"/>
                <w:szCs w:val="14"/>
                <w:color w:val="auto"/>
              </w:rPr>
            </w:pPr>
          </w:p>
        </w:tc>
        <w:tc>
          <w:tcPr>
            <w:tcW w:w="7420" w:type="dxa"/>
            <w:vAlign w:val="bottom"/>
            <w:tcBorders>
              <w:bottom w:val="single" w:sz="8" w:color="FDF5E7"/>
            </w:tcBorders>
            <w:gridSpan w:val="2"/>
            <w:shd w:val="clear" w:color="auto" w:fill="FDF5E7"/>
          </w:tcPr>
          <w:p>
            <w:pPr>
              <w:spacing w:after="0"/>
              <w:rPr>
                <w:sz w:val="20"/>
                <w:szCs w:val="20"/>
                <w:color w:val="auto"/>
              </w:rPr>
            </w:pPr>
            <w:r>
              <w:rPr>
                <w:rFonts w:ascii="Arial" w:cs="Arial" w:eastAsia="Arial" w:hAnsi="Arial"/>
                <w:sz w:val="12"/>
                <w:szCs w:val="12"/>
                <w:color w:val="auto"/>
              </w:rPr>
              <w:t>Revenue from France</w:t>
            </w:r>
          </w:p>
        </w:tc>
        <w:tc>
          <w:tcPr>
            <w:tcW w:w="2780" w:type="dxa"/>
            <w:vAlign w:val="bottom"/>
            <w:tcBorders>
              <w:bottom w:val="single" w:sz="8" w:color="FDF5E7"/>
            </w:tcBorders>
            <w:shd w:val="clear" w:color="auto" w:fill="FDF5E7"/>
          </w:tcPr>
          <w:p>
            <w:pPr>
              <w:jc w:val="right"/>
              <w:ind w:right="798"/>
              <w:spacing w:after="0"/>
              <w:rPr>
                <w:sz w:val="20"/>
                <w:szCs w:val="20"/>
                <w:color w:val="auto"/>
              </w:rPr>
            </w:pPr>
            <w:r>
              <w:rPr>
                <w:rFonts w:ascii="Arial" w:cs="Arial" w:eastAsia="Arial" w:hAnsi="Arial"/>
                <w:sz w:val="12"/>
                <w:szCs w:val="12"/>
                <w:color w:val="auto"/>
              </w:rPr>
              <w:t>100 %</w:t>
            </w:r>
          </w:p>
        </w:tc>
        <w:tc>
          <w:tcPr>
            <w:tcW w:w="100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100 %</w:t>
            </w:r>
          </w:p>
        </w:tc>
      </w:tr>
      <w:tr>
        <w:trPr>
          <w:trHeight w:val="173"/>
        </w:trPr>
        <w:tc>
          <w:tcPr>
            <w:tcW w:w="2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Arial" w:cs="Arial" w:eastAsia="Arial" w:hAnsi="Arial"/>
                <w:sz w:val="12"/>
                <w:szCs w:val="12"/>
                <w:color w:val="auto"/>
              </w:rPr>
              <w:t>Revenue from other countries</w:t>
            </w:r>
          </w:p>
        </w:tc>
        <w:tc>
          <w:tcPr>
            <w:tcW w:w="2780" w:type="dxa"/>
            <w:vAlign w:val="bottom"/>
          </w:tcPr>
          <w:p>
            <w:pPr>
              <w:jc w:val="right"/>
              <w:ind w:right="798"/>
              <w:spacing w:after="0"/>
              <w:rPr>
                <w:sz w:val="20"/>
                <w:szCs w:val="20"/>
                <w:color w:val="auto"/>
              </w:rPr>
            </w:pPr>
            <w:r>
              <w:rPr>
                <w:rFonts w:ascii="Arial" w:cs="Arial" w:eastAsia="Arial" w:hAnsi="Arial"/>
                <w:sz w:val="12"/>
                <w:szCs w:val="12"/>
                <w:color w:val="auto"/>
              </w:rPr>
              <w:t>— %</w:t>
            </w:r>
          </w:p>
        </w:tc>
        <w:tc>
          <w:tcPr>
            <w:tcW w:w="1000" w:type="dxa"/>
            <w:vAlign w:val="bottom"/>
          </w:tcPr>
          <w:p>
            <w:pPr>
              <w:jc w:val="right"/>
              <w:spacing w:after="0"/>
              <w:rPr>
                <w:sz w:val="20"/>
                <w:szCs w:val="20"/>
                <w:color w:val="auto"/>
              </w:rPr>
            </w:pPr>
            <w:r>
              <w:rPr>
                <w:rFonts w:ascii="Arial" w:cs="Arial" w:eastAsia="Arial" w:hAnsi="Arial"/>
                <w:sz w:val="12"/>
                <w:szCs w:val="12"/>
                <w:color w:val="auto"/>
              </w:rPr>
              <w:t>— %</w:t>
            </w:r>
          </w:p>
        </w:tc>
      </w:tr>
      <w:tr>
        <w:trPr>
          <w:trHeight w:val="26"/>
        </w:trPr>
        <w:tc>
          <w:tcPr>
            <w:tcW w:w="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2"/>
        </w:trPr>
        <w:tc>
          <w:tcPr>
            <w:tcW w:w="2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Arial" w:cs="Arial" w:eastAsia="Arial" w:hAnsi="Arial"/>
                <w:sz w:val="12"/>
                <w:szCs w:val="12"/>
                <w:b w:val="1"/>
                <w:bCs w:val="1"/>
                <w:color w:val="E99D25"/>
              </w:rPr>
              <w:t>TOTAL</w:t>
            </w:r>
          </w:p>
        </w:tc>
        <w:tc>
          <w:tcPr>
            <w:tcW w:w="2780" w:type="dxa"/>
            <w:vAlign w:val="bottom"/>
          </w:tcPr>
          <w:p>
            <w:pPr>
              <w:jc w:val="right"/>
              <w:ind w:right="798"/>
              <w:spacing w:after="0"/>
              <w:rPr>
                <w:sz w:val="20"/>
                <w:szCs w:val="20"/>
                <w:color w:val="auto"/>
              </w:rPr>
            </w:pPr>
            <w:r>
              <w:rPr>
                <w:rFonts w:ascii="Arial" w:cs="Arial" w:eastAsia="Arial" w:hAnsi="Arial"/>
                <w:sz w:val="12"/>
                <w:szCs w:val="12"/>
                <w:b w:val="1"/>
                <w:bCs w:val="1"/>
                <w:color w:val="E99D25"/>
              </w:rPr>
              <w:t>100 %</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E99D25"/>
              </w:rPr>
              <w:t>100 %</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4926965</wp:posOffset>
            </wp:positionH>
            <wp:positionV relativeFrom="page">
              <wp:posOffset>812165</wp:posOffset>
            </wp:positionV>
            <wp:extent cx="239776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jc w:val="both"/>
        <w:ind w:firstLine="318"/>
        <w:spacing w:after="0" w:line="274" w:lineRule="auto"/>
        <w:rPr>
          <w:sz w:val="20"/>
          <w:szCs w:val="20"/>
          <w:color w:val="auto"/>
        </w:rPr>
      </w:pPr>
      <w:r>
        <w:rPr>
          <w:rFonts w:ascii="Arial" w:cs="Arial" w:eastAsia="Arial" w:hAnsi="Arial"/>
          <w:sz w:val="15"/>
          <w:szCs w:val="15"/>
          <w:color w:val="auto"/>
        </w:rPr>
        <w:t>For the six month period ended June 30, 2024 and 2025, substantially all revenue was generated from Ipsen, including royalties recognized in France based on Ipsen's worldwide (excluding Greater China) sales of Iqirvo® (elafibranor).</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40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Non-current assets by geographical area</w:t>
            </w:r>
          </w:p>
        </w:tc>
        <w:tc>
          <w:tcPr>
            <w:tcW w:w="9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As of December 31, 2024</w:t>
            </w: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E99D25"/>
              </w:rPr>
              <w:t>As of June 30, 2025</w:t>
            </w: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4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2"/>
                <w:szCs w:val="12"/>
                <w:i w:val="1"/>
                <w:iCs w:val="1"/>
                <w:color w:val="auto"/>
              </w:rPr>
              <w:t>(thousands of euros)</w:t>
            </w:r>
          </w:p>
        </w:tc>
        <w:tc>
          <w:tcPr>
            <w:tcW w:w="1640" w:type="dxa"/>
            <w:vAlign w:val="bottom"/>
            <w:vMerge w:val="restart"/>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920" w:type="dxa"/>
            <w:vAlign w:val="bottom"/>
          </w:tcPr>
          <w:p>
            <w:pPr>
              <w:ind w:left="400"/>
              <w:spacing w:after="0"/>
              <w:rPr>
                <w:sz w:val="20"/>
                <w:szCs w:val="20"/>
                <w:color w:val="auto"/>
              </w:rPr>
            </w:pPr>
            <w:r>
              <w:rPr>
                <w:rFonts w:ascii="Arial" w:cs="Arial" w:eastAsia="Arial" w:hAnsi="Arial"/>
                <w:sz w:val="12"/>
                <w:szCs w:val="12"/>
                <w:color w:val="auto"/>
              </w:rPr>
              <w:t>France</w:t>
            </w:r>
          </w:p>
        </w:tc>
        <w:tc>
          <w:tcPr>
            <w:tcW w:w="1700" w:type="dxa"/>
            <w:vAlign w:val="bottom"/>
          </w:tcPr>
          <w:p>
            <w:pPr>
              <w:jc w:val="center"/>
              <w:spacing w:after="0"/>
              <w:rPr>
                <w:sz w:val="20"/>
                <w:szCs w:val="20"/>
                <w:color w:val="auto"/>
              </w:rPr>
            </w:pPr>
            <w:r>
              <w:rPr>
                <w:rFonts w:ascii="Arial" w:cs="Arial" w:eastAsia="Arial" w:hAnsi="Arial"/>
                <w:sz w:val="12"/>
                <w:szCs w:val="12"/>
                <w:color w:val="auto"/>
                <w:w w:val="99"/>
              </w:rPr>
              <w:t>Switzerland</w:t>
            </w:r>
          </w:p>
        </w:tc>
        <w:tc>
          <w:tcPr>
            <w:tcW w:w="10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E99D25"/>
              </w:rPr>
              <w:t>Total</w:t>
            </w:r>
          </w:p>
        </w:tc>
        <w:tc>
          <w:tcPr>
            <w:tcW w:w="980" w:type="dxa"/>
            <w:vAlign w:val="bottom"/>
          </w:tcPr>
          <w:p>
            <w:pPr>
              <w:ind w:left="380"/>
              <w:spacing w:after="0"/>
              <w:rPr>
                <w:sz w:val="20"/>
                <w:szCs w:val="20"/>
                <w:color w:val="auto"/>
              </w:rPr>
            </w:pPr>
            <w:r>
              <w:rPr>
                <w:rFonts w:ascii="Arial" w:cs="Arial" w:eastAsia="Arial" w:hAnsi="Arial"/>
                <w:sz w:val="12"/>
                <w:szCs w:val="12"/>
                <w:color w:val="242424"/>
              </w:rPr>
              <w:t>France</w:t>
            </w:r>
          </w:p>
        </w:tc>
        <w:tc>
          <w:tcPr>
            <w:tcW w:w="1560" w:type="dxa"/>
            <w:vAlign w:val="bottom"/>
          </w:tcPr>
          <w:p>
            <w:pPr>
              <w:jc w:val="center"/>
              <w:spacing w:after="0"/>
              <w:rPr>
                <w:sz w:val="20"/>
                <w:szCs w:val="20"/>
                <w:color w:val="auto"/>
              </w:rPr>
            </w:pPr>
            <w:r>
              <w:rPr>
                <w:rFonts w:ascii="Arial" w:cs="Arial" w:eastAsia="Arial" w:hAnsi="Arial"/>
                <w:sz w:val="12"/>
                <w:szCs w:val="12"/>
                <w:color w:val="242424"/>
              </w:rPr>
              <w:t>Switzerland</w:t>
            </w:r>
          </w:p>
        </w:tc>
        <w:tc>
          <w:tcPr>
            <w:tcW w:w="980" w:type="dxa"/>
            <w:vAlign w:val="bottom"/>
          </w:tcPr>
          <w:p>
            <w:pPr>
              <w:jc w:val="center"/>
              <w:ind w:right="118"/>
              <w:spacing w:after="0"/>
              <w:rPr>
                <w:sz w:val="20"/>
                <w:szCs w:val="20"/>
                <w:color w:val="auto"/>
              </w:rPr>
            </w:pPr>
            <w:r>
              <w:rPr>
                <w:rFonts w:ascii="Arial" w:cs="Arial" w:eastAsia="Arial" w:hAnsi="Arial"/>
                <w:sz w:val="12"/>
                <w:szCs w:val="12"/>
                <w:b w:val="1"/>
                <w:bCs w:val="1"/>
                <w:color w:val="E99D25"/>
                <w:w w:val="97"/>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gridSpan w:val="2"/>
          </w:tcPr>
          <w:p>
            <w:pPr>
              <w:spacing w:after="0"/>
              <w:rPr>
                <w:sz w:val="20"/>
                <w:szCs w:val="20"/>
                <w:color w:val="auto"/>
              </w:rPr>
            </w:pPr>
            <w:r>
              <w:rPr>
                <w:rFonts w:ascii="Arial" w:cs="Arial" w:eastAsia="Arial" w:hAnsi="Arial"/>
                <w:sz w:val="12"/>
                <w:szCs w:val="12"/>
                <w:b w:val="1"/>
                <w:bCs w:val="1"/>
                <w:color w:val="E99D25"/>
              </w:rPr>
              <w:t>TOTAL</w:t>
            </w:r>
          </w:p>
        </w:tc>
        <w:tc>
          <w:tcPr>
            <w:tcW w:w="920" w:type="dxa"/>
            <w:vAlign w:val="bottom"/>
          </w:tcPr>
          <w:p>
            <w:pPr>
              <w:ind w:left="400"/>
              <w:spacing w:after="0"/>
              <w:rPr>
                <w:sz w:val="20"/>
                <w:szCs w:val="20"/>
                <w:color w:val="auto"/>
              </w:rPr>
            </w:pPr>
            <w:r>
              <w:rPr>
                <w:rFonts w:ascii="Arial" w:cs="Arial" w:eastAsia="Arial" w:hAnsi="Arial"/>
                <w:sz w:val="12"/>
                <w:szCs w:val="12"/>
                <w:color w:val="auto"/>
              </w:rPr>
              <w:t>12,580</w:t>
            </w:r>
          </w:p>
        </w:tc>
        <w:tc>
          <w:tcPr>
            <w:tcW w:w="1700" w:type="dxa"/>
            <w:vAlign w:val="bottom"/>
          </w:tcPr>
          <w:p>
            <w:pPr>
              <w:jc w:val="center"/>
              <w:spacing w:after="0"/>
              <w:rPr>
                <w:sz w:val="20"/>
                <w:szCs w:val="20"/>
                <w:color w:val="auto"/>
              </w:rPr>
            </w:pPr>
            <w:r>
              <w:rPr>
                <w:rFonts w:ascii="Arial" w:cs="Arial" w:eastAsia="Arial" w:hAnsi="Arial"/>
                <w:sz w:val="12"/>
                <w:szCs w:val="12"/>
                <w:color w:val="auto"/>
              </w:rPr>
              <w:t>46,079</w:t>
            </w:r>
          </w:p>
        </w:tc>
        <w:tc>
          <w:tcPr>
            <w:tcW w:w="920" w:type="dxa"/>
            <w:vAlign w:val="bottom"/>
          </w:tcPr>
          <w:p>
            <w:pPr>
              <w:jc w:val="right"/>
              <w:ind w:right="338"/>
              <w:spacing w:after="0"/>
              <w:rPr>
                <w:sz w:val="20"/>
                <w:szCs w:val="20"/>
                <w:color w:val="auto"/>
              </w:rPr>
            </w:pPr>
            <w:r>
              <w:rPr>
                <w:rFonts w:ascii="Arial" w:cs="Arial" w:eastAsia="Arial" w:hAnsi="Arial"/>
                <w:sz w:val="12"/>
                <w:szCs w:val="12"/>
                <w:b w:val="1"/>
                <w:bCs w:val="1"/>
                <w:color w:val="E99D25"/>
              </w:rPr>
              <w:t>58,659</w:t>
            </w:r>
          </w:p>
        </w:tc>
        <w:tc>
          <w:tcPr>
            <w:tcW w:w="100" w:type="dxa"/>
            <w:vAlign w:val="bottom"/>
          </w:tcPr>
          <w:p>
            <w:pPr>
              <w:spacing w:after="0"/>
              <w:rPr>
                <w:sz w:val="14"/>
                <w:szCs w:val="14"/>
                <w:color w:val="auto"/>
              </w:rPr>
            </w:pPr>
          </w:p>
        </w:tc>
        <w:tc>
          <w:tcPr>
            <w:tcW w:w="980" w:type="dxa"/>
            <w:vAlign w:val="bottom"/>
          </w:tcPr>
          <w:p>
            <w:pPr>
              <w:ind w:left="400"/>
              <w:spacing w:after="0"/>
              <w:rPr>
                <w:sz w:val="20"/>
                <w:szCs w:val="20"/>
                <w:color w:val="auto"/>
              </w:rPr>
            </w:pPr>
            <w:r>
              <w:rPr>
                <w:rFonts w:ascii="Arial" w:cs="Arial" w:eastAsia="Arial" w:hAnsi="Arial"/>
                <w:sz w:val="12"/>
                <w:szCs w:val="12"/>
                <w:color w:val="242424"/>
              </w:rPr>
              <w:t>14,880</w:t>
            </w:r>
          </w:p>
        </w:tc>
        <w:tc>
          <w:tcPr>
            <w:tcW w:w="1560" w:type="dxa"/>
            <w:vAlign w:val="bottom"/>
          </w:tcPr>
          <w:p>
            <w:pPr>
              <w:jc w:val="center"/>
              <w:spacing w:after="0"/>
              <w:rPr>
                <w:sz w:val="20"/>
                <w:szCs w:val="20"/>
                <w:color w:val="auto"/>
              </w:rPr>
            </w:pPr>
            <w:r>
              <w:rPr>
                <w:rFonts w:ascii="Arial" w:cs="Arial" w:eastAsia="Arial" w:hAnsi="Arial"/>
                <w:sz w:val="12"/>
                <w:szCs w:val="12"/>
                <w:color w:val="242424"/>
                <w:w w:val="97"/>
              </w:rPr>
              <w:t>46,374</w:t>
            </w:r>
          </w:p>
        </w:tc>
        <w:tc>
          <w:tcPr>
            <w:tcW w:w="980" w:type="dxa"/>
            <w:vAlign w:val="bottom"/>
          </w:tcPr>
          <w:p>
            <w:pPr>
              <w:jc w:val="right"/>
              <w:ind w:right="338"/>
              <w:spacing w:after="0"/>
              <w:rPr>
                <w:sz w:val="20"/>
                <w:szCs w:val="20"/>
                <w:color w:val="auto"/>
              </w:rPr>
            </w:pPr>
            <w:r>
              <w:rPr>
                <w:rFonts w:ascii="Arial" w:cs="Arial" w:eastAsia="Arial" w:hAnsi="Arial"/>
                <w:sz w:val="12"/>
                <w:szCs w:val="12"/>
                <w:b w:val="1"/>
                <w:bCs w:val="1"/>
                <w:color w:val="E99D25"/>
              </w:rPr>
              <w:t>61,254</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ind w:left="480" w:hanging="474"/>
        <w:spacing w:after="0"/>
        <w:tabs>
          <w:tab w:leader="none" w:pos="480" w:val="left"/>
        </w:tabs>
        <w:numPr>
          <w:ilvl w:val="0"/>
          <w:numId w:val="38"/>
        </w:numPr>
        <w:rPr>
          <w:rFonts w:ascii="Arial" w:cs="Arial" w:eastAsia="Arial" w:hAnsi="Arial"/>
          <w:sz w:val="16"/>
          <w:szCs w:val="16"/>
          <w:b w:val="1"/>
          <w:bCs w:val="1"/>
          <w:color w:val="E99D25"/>
        </w:rPr>
      </w:pPr>
      <w:r>
        <w:rPr>
          <w:rFonts w:ascii="Arial" w:cs="Arial" w:eastAsia="Arial" w:hAnsi="Arial"/>
          <w:sz w:val="16"/>
          <w:szCs w:val="16"/>
          <w:b w:val="1"/>
          <w:bCs w:val="1"/>
          <w:color w:val="E99D25"/>
        </w:rPr>
        <w:t>FINANCIAL RISKS MANAGEMENT</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Group may be exposed to the following risks arising from financial instruments: foreign exchange risk, interest rate risk, liquidity risk and credit risk.</w:t>
      </w:r>
    </w:p>
    <w:p>
      <w:pPr>
        <w:spacing w:after="0" w:line="281"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6.1.</w:t>
      </w:r>
      <w:r>
        <w:rPr>
          <w:sz w:val="20"/>
          <w:szCs w:val="20"/>
          <w:color w:val="auto"/>
        </w:rPr>
        <w:tab/>
      </w:r>
      <w:r>
        <w:rPr>
          <w:rFonts w:ascii="Arial" w:cs="Arial" w:eastAsia="Arial" w:hAnsi="Arial"/>
          <w:sz w:val="15"/>
          <w:szCs w:val="15"/>
          <w:b w:val="1"/>
          <w:bCs w:val="1"/>
          <w:color w:val="auto"/>
        </w:rPr>
        <w:t>Foreign exchange risk</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Group's overall exposure to the foreign exchange risk depends, in particular, on:</w:t>
      </w:r>
    </w:p>
    <w:p>
      <w:pPr>
        <w:spacing w:after="0" w:line="185" w:lineRule="exact"/>
        <w:rPr>
          <w:sz w:val="20"/>
          <w:szCs w:val="20"/>
          <w:color w:val="auto"/>
        </w:rPr>
      </w:pPr>
    </w:p>
    <w:p>
      <w:pPr>
        <w:ind w:left="500" w:hanging="240"/>
        <w:spacing w:after="0"/>
        <w:tabs>
          <w:tab w:leader="none" w:pos="5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w:t>
      </w:r>
      <w:r>
        <w:rPr>
          <w:rFonts w:ascii="Arial" w:cs="Arial" w:eastAsia="Arial" w:hAnsi="Arial"/>
          <w:sz w:val="15"/>
          <w:szCs w:val="15"/>
          <w:color w:val="3C3C3B"/>
        </w:rPr>
        <w:t>he currencies in which it receives its revenues;</w:t>
      </w:r>
    </w:p>
    <w:p>
      <w:pPr>
        <w:spacing w:after="0" w:line="92" w:lineRule="exact"/>
        <w:rPr>
          <w:rFonts w:ascii="Arial" w:cs="Arial" w:eastAsia="Arial" w:hAnsi="Arial"/>
          <w:sz w:val="15"/>
          <w:szCs w:val="15"/>
          <w:color w:val="auto"/>
        </w:rPr>
      </w:pPr>
    </w:p>
    <w:p>
      <w:pPr>
        <w:ind w:left="500" w:hanging="240"/>
        <w:spacing w:after="0"/>
        <w:tabs>
          <w:tab w:leader="none" w:pos="500" w:val="left"/>
        </w:tabs>
        <w:numPr>
          <w:ilvl w:val="0"/>
          <w:numId w:val="39"/>
        </w:numPr>
        <w:rPr>
          <w:rFonts w:ascii="Arial" w:cs="Arial" w:eastAsia="Arial" w:hAnsi="Arial"/>
          <w:sz w:val="15"/>
          <w:szCs w:val="15"/>
          <w:color w:val="3C3C3B"/>
        </w:rPr>
      </w:pPr>
      <w:r>
        <w:rPr>
          <w:rFonts w:ascii="Arial" w:cs="Arial" w:eastAsia="Arial" w:hAnsi="Arial"/>
          <w:sz w:val="15"/>
          <w:szCs w:val="15"/>
          <w:color w:val="3C3C3B"/>
        </w:rPr>
        <w:t>the currencies chosen when agreements are entered into, such as licensing agreements, or co-marketing or co-development agreements;</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39"/>
        </w:numPr>
        <w:rPr>
          <w:rFonts w:ascii="Arial" w:cs="Arial" w:eastAsia="Arial" w:hAnsi="Arial"/>
          <w:sz w:val="15"/>
          <w:szCs w:val="15"/>
          <w:color w:val="3C3C3B"/>
        </w:rPr>
      </w:pPr>
      <w:r>
        <w:rPr>
          <w:rFonts w:ascii="Arial" w:cs="Arial" w:eastAsia="Arial" w:hAnsi="Arial"/>
          <w:sz w:val="15"/>
          <w:szCs w:val="15"/>
          <w:color w:val="3C3C3B"/>
        </w:rPr>
        <w:t>the location of clinical trials on drug or biomarker candidates;</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39"/>
        </w:numPr>
        <w:rPr>
          <w:rFonts w:ascii="Arial" w:cs="Arial" w:eastAsia="Arial" w:hAnsi="Arial"/>
          <w:sz w:val="15"/>
          <w:szCs w:val="15"/>
          <w:color w:val="3C3C3B"/>
        </w:rPr>
      </w:pPr>
      <w:r>
        <w:rPr>
          <w:rFonts w:ascii="Arial" w:cs="Arial" w:eastAsia="Arial" w:hAnsi="Arial"/>
          <w:sz w:val="15"/>
          <w:szCs w:val="15"/>
          <w:color w:val="3C3C3B"/>
        </w:rPr>
        <w:t>the ability for its co-contracting parties to indirectly transfer foreign exchange risk to the Company;</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39"/>
        </w:numPr>
        <w:rPr>
          <w:rFonts w:ascii="Arial" w:cs="Arial" w:eastAsia="Arial" w:hAnsi="Arial"/>
          <w:sz w:val="15"/>
          <w:szCs w:val="15"/>
          <w:color w:val="3C3C3B"/>
        </w:rPr>
      </w:pPr>
      <w:r>
        <w:rPr>
          <w:rFonts w:ascii="Arial" w:cs="Arial" w:eastAsia="Arial" w:hAnsi="Arial"/>
          <w:sz w:val="15"/>
          <w:szCs w:val="15"/>
          <w:color w:val="3C3C3B"/>
        </w:rPr>
        <w:t>the Group’s foreign exchange risk policy; and</w:t>
      </w:r>
    </w:p>
    <w:p>
      <w:pPr>
        <w:spacing w:after="0" w:line="92" w:lineRule="exact"/>
        <w:rPr>
          <w:rFonts w:ascii="Arial" w:cs="Arial" w:eastAsia="Arial" w:hAnsi="Arial"/>
          <w:sz w:val="15"/>
          <w:szCs w:val="15"/>
          <w:color w:val="3C3C3B"/>
        </w:rPr>
      </w:pPr>
    </w:p>
    <w:p>
      <w:pPr>
        <w:ind w:left="500" w:hanging="240"/>
        <w:spacing w:after="0"/>
        <w:tabs>
          <w:tab w:leader="none" w:pos="500" w:val="left"/>
        </w:tabs>
        <w:numPr>
          <w:ilvl w:val="0"/>
          <w:numId w:val="39"/>
        </w:numPr>
        <w:rPr>
          <w:rFonts w:ascii="Arial" w:cs="Arial" w:eastAsia="Arial" w:hAnsi="Arial"/>
          <w:sz w:val="15"/>
          <w:szCs w:val="15"/>
          <w:color w:val="3C3C3B"/>
        </w:rPr>
      </w:pPr>
      <w:r>
        <w:rPr>
          <w:rFonts w:ascii="Arial" w:cs="Arial" w:eastAsia="Arial" w:hAnsi="Arial"/>
          <w:sz w:val="15"/>
          <w:szCs w:val="15"/>
          <w:color w:val="3C3C3B"/>
        </w:rPr>
        <w:t>the fluctuation of foreign currencies against the euro.</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Group does not use any specific hedging arrangements at this time.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Group holds cash and cash equivalents and other financial assets primarily in euros, U.S. dollars and Swiss francs as summarized here:</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60" w:type="dxa"/>
            <w:vAlign w:val="bottom"/>
          </w:tcPr>
          <w:p>
            <w:pPr>
              <w:ind w:left="20"/>
              <w:spacing w:after="0"/>
              <w:rPr>
                <w:sz w:val="20"/>
                <w:szCs w:val="20"/>
                <w:color w:val="auto"/>
              </w:rPr>
            </w:pPr>
            <w:r>
              <w:rPr>
                <w:rFonts w:ascii="Arial" w:cs="Arial" w:eastAsia="Arial" w:hAnsi="Arial"/>
                <w:sz w:val="12"/>
                <w:szCs w:val="12"/>
                <w:b w:val="1"/>
                <w:bCs w:val="1"/>
                <w:color w:val="3C3C3B"/>
              </w:rPr>
              <w:t>Cash, cash equivalents and financial assets</w:t>
            </w:r>
          </w:p>
        </w:tc>
        <w:tc>
          <w:tcPr>
            <w:tcW w:w="2060" w:type="dxa"/>
            <w:vAlign w:val="bottom"/>
          </w:tcPr>
          <w:p>
            <w:pPr>
              <w:jc w:val="right"/>
              <w:ind w:right="318"/>
              <w:spacing w:after="0"/>
              <w:rPr>
                <w:sz w:val="20"/>
                <w:szCs w:val="20"/>
                <w:color w:val="auto"/>
              </w:rPr>
            </w:pPr>
            <w:r>
              <w:rPr>
                <w:rFonts w:ascii="Arial" w:cs="Arial" w:eastAsia="Arial" w:hAnsi="Arial"/>
                <w:sz w:val="12"/>
                <w:szCs w:val="12"/>
                <w:b w:val="1"/>
                <w:bCs w:val="1"/>
                <w:color w:val="3C3C3B"/>
              </w:rPr>
              <w:t>As of</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ind w:left="20"/>
              <w:spacing w:after="0"/>
              <w:rPr>
                <w:sz w:val="20"/>
                <w:szCs w:val="20"/>
                <w:color w:val="auto"/>
              </w:rPr>
            </w:pPr>
            <w:r>
              <w:rPr>
                <w:rFonts w:ascii="Arial" w:cs="Arial" w:eastAsia="Arial" w:hAnsi="Arial"/>
                <w:sz w:val="12"/>
                <w:szCs w:val="12"/>
                <w:b w:val="1"/>
                <w:bCs w:val="1"/>
                <w:color w:val="3C3C3B"/>
              </w:rPr>
              <w:t>(in € thousands)</w:t>
            </w:r>
          </w:p>
        </w:tc>
        <w:tc>
          <w:tcPr>
            <w:tcW w:w="2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960" w:type="dxa"/>
            <w:vAlign w:val="bottom"/>
            <w:vMerge w:val="continue"/>
          </w:tcPr>
          <w:p>
            <w:pPr>
              <w:spacing w:after="0"/>
              <w:rPr>
                <w:sz w:val="14"/>
                <w:szCs w:val="14"/>
                <w:color w:val="auto"/>
              </w:rPr>
            </w:pPr>
          </w:p>
        </w:tc>
        <w:tc>
          <w:tcPr>
            <w:tcW w:w="2060" w:type="dxa"/>
            <w:vAlign w:val="bottom"/>
          </w:tcPr>
          <w:p>
            <w:pPr>
              <w:jc w:val="right"/>
              <w:ind w:right="478"/>
              <w:spacing w:after="0"/>
              <w:rPr>
                <w:sz w:val="20"/>
                <w:szCs w:val="20"/>
                <w:color w:val="auto"/>
              </w:rPr>
            </w:pPr>
            <w:r>
              <w:rPr>
                <w:rFonts w:ascii="Arial" w:cs="Arial" w:eastAsia="Arial" w:hAnsi="Arial"/>
                <w:sz w:val="12"/>
                <w:szCs w:val="12"/>
                <w:b w:val="1"/>
                <w:bCs w:val="1"/>
                <w:color w:val="3C3C3B"/>
              </w:rPr>
              <w:t>2024/12/31</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c>
          <w:tcPr>
            <w:tcW w:w="0" w:type="dxa"/>
            <w:vAlign w:val="bottom"/>
          </w:tcPr>
          <w:p>
            <w:pPr>
              <w:spacing w:after="0"/>
              <w:rPr>
                <w:sz w:val="1"/>
                <w:szCs w:val="1"/>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9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b w:val="1"/>
                <w:bCs w:val="1"/>
                <w:color w:val="3C3C3B"/>
              </w:rPr>
              <w:t>At origin, denominated in EUR</w:t>
            </w:r>
          </w:p>
        </w:tc>
        <w:tc>
          <w:tcPr>
            <w:tcW w:w="2060" w:type="dxa"/>
            <w:vAlign w:val="bottom"/>
            <w:tcBorders>
              <w:bottom w:val="single" w:sz="8" w:color="FDF5E7"/>
            </w:tcBorders>
            <w:shd w:val="clear" w:color="auto" w:fill="FDF5E7"/>
          </w:tcPr>
          <w:p>
            <w:pPr>
              <w:spacing w:after="0"/>
              <w:rPr>
                <w:sz w:val="14"/>
                <w:szCs w:val="14"/>
                <w:color w:val="auto"/>
              </w:rPr>
            </w:pPr>
          </w:p>
        </w:tc>
        <w:tc>
          <w:tcPr>
            <w:tcW w:w="1000" w:type="dxa"/>
            <w:vAlign w:val="bottom"/>
            <w:tcBorders>
              <w:bottom w:val="single" w:sz="8" w:color="FDF5E7"/>
            </w:tcBorders>
            <w:shd w:val="clear" w:color="auto" w:fill="FDF5E7"/>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960" w:type="dxa"/>
            <w:vAlign w:val="bottom"/>
          </w:tcPr>
          <w:p>
            <w:pPr>
              <w:ind w:left="20"/>
              <w:spacing w:after="0"/>
              <w:rPr>
                <w:sz w:val="20"/>
                <w:szCs w:val="20"/>
                <w:color w:val="auto"/>
              </w:rPr>
            </w:pPr>
            <w:r>
              <w:rPr>
                <w:rFonts w:ascii="Arial" w:cs="Arial" w:eastAsia="Arial" w:hAnsi="Arial"/>
                <w:sz w:val="12"/>
                <w:szCs w:val="12"/>
                <w:color w:val="3C3C3B"/>
              </w:rPr>
              <w:t>Cash and cash equivalents</w:t>
            </w:r>
          </w:p>
        </w:tc>
        <w:tc>
          <w:tcPr>
            <w:tcW w:w="2060" w:type="dxa"/>
            <w:vAlign w:val="bottom"/>
          </w:tcPr>
          <w:p>
            <w:pPr>
              <w:jc w:val="right"/>
              <w:ind w:right="518"/>
              <w:spacing w:after="0"/>
              <w:rPr>
                <w:sz w:val="20"/>
                <w:szCs w:val="20"/>
                <w:color w:val="auto"/>
              </w:rPr>
            </w:pPr>
            <w:r>
              <w:rPr>
                <w:rFonts w:ascii="Arial" w:cs="Arial" w:eastAsia="Arial" w:hAnsi="Arial"/>
                <w:sz w:val="12"/>
                <w:szCs w:val="12"/>
                <w:color w:val="242424"/>
              </w:rPr>
              <w:t>70,707</w:t>
            </w:r>
          </w:p>
        </w:tc>
        <w:tc>
          <w:tcPr>
            <w:tcW w:w="1000" w:type="dxa"/>
            <w:vAlign w:val="bottom"/>
          </w:tcPr>
          <w:p>
            <w:pPr>
              <w:jc w:val="right"/>
              <w:spacing w:after="0"/>
              <w:rPr>
                <w:sz w:val="20"/>
                <w:szCs w:val="20"/>
                <w:color w:val="auto"/>
              </w:rPr>
            </w:pPr>
            <w:r>
              <w:rPr>
                <w:rFonts w:ascii="Arial" w:cs="Arial" w:eastAsia="Arial" w:hAnsi="Arial"/>
                <w:sz w:val="12"/>
                <w:szCs w:val="12"/>
                <w:color w:val="242424"/>
              </w:rPr>
              <w:t>91,676</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79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Current and non current financial assets</w:t>
            </w:r>
          </w:p>
        </w:tc>
        <w:tc>
          <w:tcPr>
            <w:tcW w:w="2060" w:type="dxa"/>
            <w:vAlign w:val="bottom"/>
            <w:tcBorders>
              <w:bottom w:val="single" w:sz="8" w:color="FDF5E7"/>
            </w:tcBorders>
            <w:shd w:val="clear" w:color="auto" w:fill="FDF5E7"/>
          </w:tcPr>
          <w:p>
            <w:pPr>
              <w:jc w:val="right"/>
              <w:ind w:right="518"/>
              <w:spacing w:after="0"/>
              <w:rPr>
                <w:sz w:val="20"/>
                <w:szCs w:val="20"/>
                <w:color w:val="auto"/>
              </w:rPr>
            </w:pPr>
            <w:r>
              <w:rPr>
                <w:rFonts w:ascii="Arial" w:cs="Arial" w:eastAsia="Arial" w:hAnsi="Arial"/>
                <w:sz w:val="12"/>
                <w:szCs w:val="12"/>
                <w:color w:val="242424"/>
              </w:rPr>
              <w:t>3,035</w:t>
            </w:r>
          </w:p>
        </w:tc>
        <w:tc>
          <w:tcPr>
            <w:tcW w:w="100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242424"/>
              </w:rPr>
              <w:t>2,974</w:t>
            </w:r>
          </w:p>
        </w:tc>
        <w:tc>
          <w:tcPr>
            <w:tcW w:w="0" w:type="dxa"/>
            <w:vAlign w:val="bottom"/>
          </w:tcPr>
          <w:p>
            <w:pPr>
              <w:spacing w:after="0"/>
              <w:rPr>
                <w:sz w:val="1"/>
                <w:szCs w:val="1"/>
                <w:color w:val="auto"/>
              </w:rPr>
            </w:pPr>
          </w:p>
        </w:tc>
      </w:tr>
      <w:tr>
        <w:trPr>
          <w:trHeight w:val="178"/>
        </w:trPr>
        <w:tc>
          <w:tcPr>
            <w:tcW w:w="7960" w:type="dxa"/>
            <w:vAlign w:val="bottom"/>
          </w:tcPr>
          <w:p>
            <w:pPr>
              <w:ind w:left="20"/>
              <w:spacing w:after="0"/>
              <w:rPr>
                <w:sz w:val="20"/>
                <w:szCs w:val="20"/>
                <w:color w:val="auto"/>
              </w:rPr>
            </w:pPr>
            <w:r>
              <w:rPr>
                <w:rFonts w:ascii="Arial" w:cs="Arial" w:eastAsia="Arial" w:hAnsi="Arial"/>
                <w:sz w:val="12"/>
                <w:szCs w:val="12"/>
                <w:b w:val="1"/>
                <w:bCs w:val="1"/>
                <w:i w:val="1"/>
                <w:iCs w:val="1"/>
                <w:color w:val="3C3C3B"/>
              </w:rPr>
              <w:t>Total</w:t>
            </w:r>
          </w:p>
        </w:tc>
        <w:tc>
          <w:tcPr>
            <w:tcW w:w="2060" w:type="dxa"/>
            <w:vAlign w:val="bottom"/>
          </w:tcPr>
          <w:p>
            <w:pPr>
              <w:jc w:val="right"/>
              <w:ind w:right="518"/>
              <w:spacing w:after="0"/>
              <w:rPr>
                <w:sz w:val="20"/>
                <w:szCs w:val="20"/>
                <w:color w:val="auto"/>
              </w:rPr>
            </w:pPr>
            <w:r>
              <w:rPr>
                <w:rFonts w:ascii="Arial" w:cs="Arial" w:eastAsia="Arial" w:hAnsi="Arial"/>
                <w:sz w:val="12"/>
                <w:szCs w:val="12"/>
                <w:b w:val="1"/>
                <w:bCs w:val="1"/>
                <w:i w:val="1"/>
                <w:iCs w:val="1"/>
                <w:color w:val="242424"/>
              </w:rPr>
              <w:t>73,742</w:t>
            </w:r>
          </w:p>
        </w:tc>
        <w:tc>
          <w:tcPr>
            <w:tcW w:w="1000" w:type="dxa"/>
            <w:vAlign w:val="bottom"/>
          </w:tcPr>
          <w:p>
            <w:pPr>
              <w:jc w:val="right"/>
              <w:spacing w:after="0"/>
              <w:rPr>
                <w:sz w:val="20"/>
                <w:szCs w:val="20"/>
                <w:color w:val="auto"/>
              </w:rPr>
            </w:pPr>
            <w:r>
              <w:rPr>
                <w:rFonts w:ascii="Arial" w:cs="Arial" w:eastAsia="Arial" w:hAnsi="Arial"/>
                <w:sz w:val="12"/>
                <w:szCs w:val="12"/>
                <w:b w:val="1"/>
                <w:bCs w:val="1"/>
                <w:i w:val="1"/>
                <w:iCs w:val="1"/>
                <w:color w:val="242424"/>
              </w:rPr>
              <w:t>94,650</w:t>
            </w:r>
          </w:p>
        </w:tc>
        <w:tc>
          <w:tcPr>
            <w:tcW w:w="0" w:type="dxa"/>
            <w:vAlign w:val="bottom"/>
          </w:tcPr>
          <w:p>
            <w:pPr>
              <w:spacing w:after="0"/>
              <w:rPr>
                <w:sz w:val="1"/>
                <w:szCs w:val="1"/>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9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b w:val="1"/>
                <w:bCs w:val="1"/>
                <w:color w:val="3C3C3B"/>
              </w:rPr>
              <w:t>At origin, denominated in USD</w:t>
            </w:r>
          </w:p>
        </w:tc>
        <w:tc>
          <w:tcPr>
            <w:tcW w:w="2060" w:type="dxa"/>
            <w:vAlign w:val="bottom"/>
            <w:tcBorders>
              <w:bottom w:val="single" w:sz="8" w:color="FDF5E7"/>
            </w:tcBorders>
            <w:shd w:val="clear" w:color="auto" w:fill="FDF5E7"/>
          </w:tcPr>
          <w:p>
            <w:pPr>
              <w:spacing w:after="0"/>
              <w:rPr>
                <w:sz w:val="14"/>
                <w:szCs w:val="14"/>
                <w:color w:val="auto"/>
              </w:rPr>
            </w:pPr>
          </w:p>
        </w:tc>
        <w:tc>
          <w:tcPr>
            <w:tcW w:w="1000" w:type="dxa"/>
            <w:vAlign w:val="bottom"/>
            <w:tcBorders>
              <w:bottom w:val="single" w:sz="8" w:color="FDF5E7"/>
            </w:tcBorders>
            <w:shd w:val="clear" w:color="auto" w:fill="FDF5E7"/>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960" w:type="dxa"/>
            <w:vAlign w:val="bottom"/>
          </w:tcPr>
          <w:p>
            <w:pPr>
              <w:ind w:left="20"/>
              <w:spacing w:after="0"/>
              <w:rPr>
                <w:sz w:val="20"/>
                <w:szCs w:val="20"/>
                <w:color w:val="auto"/>
              </w:rPr>
            </w:pPr>
            <w:r>
              <w:rPr>
                <w:rFonts w:ascii="Arial" w:cs="Arial" w:eastAsia="Arial" w:hAnsi="Arial"/>
                <w:sz w:val="12"/>
                <w:szCs w:val="12"/>
                <w:color w:val="3C3C3B"/>
              </w:rPr>
              <w:t>Cash and cash equivalents</w:t>
            </w:r>
          </w:p>
        </w:tc>
        <w:tc>
          <w:tcPr>
            <w:tcW w:w="2060" w:type="dxa"/>
            <w:vAlign w:val="bottom"/>
          </w:tcPr>
          <w:p>
            <w:pPr>
              <w:jc w:val="right"/>
              <w:ind w:right="518"/>
              <w:spacing w:after="0"/>
              <w:rPr>
                <w:sz w:val="20"/>
                <w:szCs w:val="20"/>
                <w:color w:val="auto"/>
              </w:rPr>
            </w:pPr>
            <w:r>
              <w:rPr>
                <w:rFonts w:ascii="Arial" w:cs="Arial" w:eastAsia="Arial" w:hAnsi="Arial"/>
                <w:sz w:val="12"/>
                <w:szCs w:val="12"/>
                <w:color w:val="242424"/>
              </w:rPr>
              <w:t>10,395</w:t>
            </w:r>
          </w:p>
        </w:tc>
        <w:tc>
          <w:tcPr>
            <w:tcW w:w="1000" w:type="dxa"/>
            <w:vAlign w:val="bottom"/>
          </w:tcPr>
          <w:p>
            <w:pPr>
              <w:jc w:val="right"/>
              <w:spacing w:after="0"/>
              <w:rPr>
                <w:sz w:val="20"/>
                <w:szCs w:val="20"/>
                <w:color w:val="auto"/>
              </w:rPr>
            </w:pPr>
            <w:r>
              <w:rPr>
                <w:rFonts w:ascii="Arial" w:cs="Arial" w:eastAsia="Arial" w:hAnsi="Arial"/>
                <w:sz w:val="12"/>
                <w:szCs w:val="12"/>
                <w:color w:val="242424"/>
              </w:rPr>
              <w:t>13,840</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79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Current and non current financial assets</w:t>
            </w:r>
          </w:p>
        </w:tc>
        <w:tc>
          <w:tcPr>
            <w:tcW w:w="2060" w:type="dxa"/>
            <w:vAlign w:val="bottom"/>
            <w:tcBorders>
              <w:bottom w:val="single" w:sz="8" w:color="FDF5E7"/>
            </w:tcBorders>
            <w:shd w:val="clear" w:color="auto" w:fill="FDF5E7"/>
          </w:tcPr>
          <w:p>
            <w:pPr>
              <w:jc w:val="right"/>
              <w:ind w:right="518"/>
              <w:spacing w:after="0"/>
              <w:rPr>
                <w:sz w:val="20"/>
                <w:szCs w:val="20"/>
                <w:color w:val="auto"/>
              </w:rPr>
            </w:pPr>
            <w:r>
              <w:rPr>
                <w:rFonts w:ascii="Arial" w:cs="Arial" w:eastAsia="Arial" w:hAnsi="Arial"/>
                <w:sz w:val="12"/>
                <w:szCs w:val="12"/>
                <w:color w:val="242424"/>
              </w:rPr>
              <w:t>16</w:t>
            </w:r>
          </w:p>
        </w:tc>
        <w:tc>
          <w:tcPr>
            <w:tcW w:w="100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242424"/>
              </w:rPr>
              <w:t>14</w:t>
            </w:r>
          </w:p>
        </w:tc>
        <w:tc>
          <w:tcPr>
            <w:tcW w:w="0" w:type="dxa"/>
            <w:vAlign w:val="bottom"/>
          </w:tcPr>
          <w:p>
            <w:pPr>
              <w:spacing w:after="0"/>
              <w:rPr>
                <w:sz w:val="1"/>
                <w:szCs w:val="1"/>
                <w:color w:val="auto"/>
              </w:rPr>
            </w:pPr>
          </w:p>
        </w:tc>
      </w:tr>
      <w:tr>
        <w:trPr>
          <w:trHeight w:val="178"/>
        </w:trPr>
        <w:tc>
          <w:tcPr>
            <w:tcW w:w="7960" w:type="dxa"/>
            <w:vAlign w:val="bottom"/>
          </w:tcPr>
          <w:p>
            <w:pPr>
              <w:ind w:left="20"/>
              <w:spacing w:after="0"/>
              <w:rPr>
                <w:sz w:val="20"/>
                <w:szCs w:val="20"/>
                <w:color w:val="auto"/>
              </w:rPr>
            </w:pPr>
            <w:r>
              <w:rPr>
                <w:rFonts w:ascii="Arial" w:cs="Arial" w:eastAsia="Arial" w:hAnsi="Arial"/>
                <w:sz w:val="12"/>
                <w:szCs w:val="12"/>
                <w:b w:val="1"/>
                <w:bCs w:val="1"/>
                <w:i w:val="1"/>
                <w:iCs w:val="1"/>
                <w:color w:val="3C3C3B"/>
              </w:rPr>
              <w:t>Total</w:t>
            </w:r>
          </w:p>
        </w:tc>
        <w:tc>
          <w:tcPr>
            <w:tcW w:w="2060" w:type="dxa"/>
            <w:vAlign w:val="bottom"/>
          </w:tcPr>
          <w:p>
            <w:pPr>
              <w:jc w:val="right"/>
              <w:ind w:right="518"/>
              <w:spacing w:after="0"/>
              <w:rPr>
                <w:sz w:val="20"/>
                <w:szCs w:val="20"/>
                <w:color w:val="auto"/>
              </w:rPr>
            </w:pPr>
            <w:r>
              <w:rPr>
                <w:rFonts w:ascii="Arial" w:cs="Arial" w:eastAsia="Arial" w:hAnsi="Arial"/>
                <w:sz w:val="12"/>
                <w:szCs w:val="12"/>
                <w:b w:val="1"/>
                <w:bCs w:val="1"/>
                <w:i w:val="1"/>
                <w:iCs w:val="1"/>
                <w:color w:val="242424"/>
              </w:rPr>
              <w:t>10,411</w:t>
            </w:r>
          </w:p>
        </w:tc>
        <w:tc>
          <w:tcPr>
            <w:tcW w:w="1000" w:type="dxa"/>
            <w:vAlign w:val="bottom"/>
          </w:tcPr>
          <w:p>
            <w:pPr>
              <w:jc w:val="right"/>
              <w:spacing w:after="0"/>
              <w:rPr>
                <w:sz w:val="20"/>
                <w:szCs w:val="20"/>
                <w:color w:val="auto"/>
              </w:rPr>
            </w:pPr>
            <w:r>
              <w:rPr>
                <w:rFonts w:ascii="Arial" w:cs="Arial" w:eastAsia="Arial" w:hAnsi="Arial"/>
                <w:sz w:val="12"/>
                <w:szCs w:val="12"/>
                <w:b w:val="1"/>
                <w:bCs w:val="1"/>
                <w:i w:val="1"/>
                <w:iCs w:val="1"/>
                <w:color w:val="242424"/>
              </w:rPr>
              <w:t>13,854</w:t>
            </w:r>
          </w:p>
        </w:tc>
        <w:tc>
          <w:tcPr>
            <w:tcW w:w="0" w:type="dxa"/>
            <w:vAlign w:val="bottom"/>
          </w:tcPr>
          <w:p>
            <w:pPr>
              <w:spacing w:after="0"/>
              <w:rPr>
                <w:sz w:val="1"/>
                <w:szCs w:val="1"/>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9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b w:val="1"/>
                <w:bCs w:val="1"/>
                <w:color w:val="3C3C3B"/>
              </w:rPr>
              <w:t>At origin, denominated in CHF</w:t>
            </w:r>
          </w:p>
        </w:tc>
        <w:tc>
          <w:tcPr>
            <w:tcW w:w="2060" w:type="dxa"/>
            <w:vAlign w:val="bottom"/>
            <w:tcBorders>
              <w:bottom w:val="single" w:sz="8" w:color="FDF5E7"/>
            </w:tcBorders>
            <w:shd w:val="clear" w:color="auto" w:fill="FDF5E7"/>
          </w:tcPr>
          <w:p>
            <w:pPr>
              <w:spacing w:after="0"/>
              <w:rPr>
                <w:sz w:val="14"/>
                <w:szCs w:val="14"/>
                <w:color w:val="auto"/>
              </w:rPr>
            </w:pPr>
          </w:p>
        </w:tc>
        <w:tc>
          <w:tcPr>
            <w:tcW w:w="1000" w:type="dxa"/>
            <w:vAlign w:val="bottom"/>
            <w:tcBorders>
              <w:bottom w:val="single" w:sz="8" w:color="FDF5E7"/>
            </w:tcBorders>
            <w:shd w:val="clear" w:color="auto" w:fill="FDF5E7"/>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960" w:type="dxa"/>
            <w:vAlign w:val="bottom"/>
          </w:tcPr>
          <w:p>
            <w:pPr>
              <w:ind w:left="20"/>
              <w:spacing w:after="0"/>
              <w:rPr>
                <w:sz w:val="20"/>
                <w:szCs w:val="20"/>
                <w:color w:val="auto"/>
              </w:rPr>
            </w:pPr>
            <w:r>
              <w:rPr>
                <w:rFonts w:ascii="Arial" w:cs="Arial" w:eastAsia="Arial" w:hAnsi="Arial"/>
                <w:sz w:val="12"/>
                <w:szCs w:val="12"/>
                <w:color w:val="3C3C3B"/>
              </w:rPr>
              <w:t>Cash and cash equivalents</w:t>
            </w:r>
          </w:p>
        </w:tc>
        <w:tc>
          <w:tcPr>
            <w:tcW w:w="2060" w:type="dxa"/>
            <w:vAlign w:val="bottom"/>
          </w:tcPr>
          <w:p>
            <w:pPr>
              <w:jc w:val="right"/>
              <w:ind w:right="518"/>
              <w:spacing w:after="0"/>
              <w:rPr>
                <w:sz w:val="20"/>
                <w:szCs w:val="20"/>
                <w:color w:val="auto"/>
              </w:rPr>
            </w:pPr>
            <w:r>
              <w:rPr>
                <w:rFonts w:ascii="Arial" w:cs="Arial" w:eastAsia="Arial" w:hAnsi="Arial"/>
                <w:sz w:val="12"/>
                <w:szCs w:val="12"/>
                <w:color w:val="auto"/>
              </w:rPr>
              <w:t>652</w:t>
            </w:r>
          </w:p>
        </w:tc>
        <w:tc>
          <w:tcPr>
            <w:tcW w:w="1000" w:type="dxa"/>
            <w:vAlign w:val="bottom"/>
          </w:tcPr>
          <w:p>
            <w:pPr>
              <w:jc w:val="right"/>
              <w:spacing w:after="0"/>
              <w:rPr>
                <w:sz w:val="20"/>
                <w:szCs w:val="20"/>
                <w:color w:val="auto"/>
              </w:rPr>
            </w:pPr>
            <w:r>
              <w:rPr>
                <w:rFonts w:ascii="Arial" w:cs="Arial" w:eastAsia="Arial" w:hAnsi="Arial"/>
                <w:sz w:val="12"/>
                <w:szCs w:val="12"/>
                <w:color w:val="auto"/>
              </w:rPr>
              <w:t>1,892</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79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Current and non current financial assets</w:t>
            </w:r>
          </w:p>
        </w:tc>
        <w:tc>
          <w:tcPr>
            <w:tcW w:w="2060" w:type="dxa"/>
            <w:vAlign w:val="bottom"/>
            <w:tcBorders>
              <w:bottom w:val="single" w:sz="8" w:color="FDF5E7"/>
            </w:tcBorders>
            <w:shd w:val="clear" w:color="auto" w:fill="FDF5E7"/>
          </w:tcPr>
          <w:p>
            <w:pPr>
              <w:jc w:val="right"/>
              <w:ind w:right="518"/>
              <w:spacing w:after="0"/>
              <w:rPr>
                <w:sz w:val="20"/>
                <w:szCs w:val="20"/>
                <w:color w:val="auto"/>
              </w:rPr>
            </w:pPr>
            <w:r>
              <w:rPr>
                <w:rFonts w:ascii="Arial" w:cs="Arial" w:eastAsia="Arial" w:hAnsi="Arial"/>
                <w:sz w:val="12"/>
                <w:szCs w:val="12"/>
                <w:color w:val="auto"/>
              </w:rPr>
              <w:t>14</w:t>
            </w:r>
          </w:p>
        </w:tc>
        <w:tc>
          <w:tcPr>
            <w:tcW w:w="100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78"/>
        </w:trPr>
        <w:tc>
          <w:tcPr>
            <w:tcW w:w="7960" w:type="dxa"/>
            <w:vAlign w:val="bottom"/>
          </w:tcPr>
          <w:p>
            <w:pPr>
              <w:ind w:left="20"/>
              <w:spacing w:after="0"/>
              <w:rPr>
                <w:sz w:val="20"/>
                <w:szCs w:val="20"/>
                <w:color w:val="auto"/>
              </w:rPr>
            </w:pPr>
            <w:r>
              <w:rPr>
                <w:rFonts w:ascii="Arial" w:cs="Arial" w:eastAsia="Arial" w:hAnsi="Arial"/>
                <w:sz w:val="12"/>
                <w:szCs w:val="12"/>
                <w:b w:val="1"/>
                <w:bCs w:val="1"/>
                <w:i w:val="1"/>
                <w:iCs w:val="1"/>
                <w:color w:val="3C3C3B"/>
              </w:rPr>
              <w:t>Total</w:t>
            </w:r>
          </w:p>
        </w:tc>
        <w:tc>
          <w:tcPr>
            <w:tcW w:w="2060" w:type="dxa"/>
            <w:vAlign w:val="bottom"/>
          </w:tcPr>
          <w:p>
            <w:pPr>
              <w:jc w:val="right"/>
              <w:ind w:right="518"/>
              <w:spacing w:after="0"/>
              <w:rPr>
                <w:sz w:val="20"/>
                <w:szCs w:val="20"/>
                <w:color w:val="auto"/>
              </w:rPr>
            </w:pPr>
            <w:r>
              <w:rPr>
                <w:rFonts w:ascii="Arial" w:cs="Arial" w:eastAsia="Arial" w:hAnsi="Arial"/>
                <w:sz w:val="12"/>
                <w:szCs w:val="12"/>
                <w:b w:val="1"/>
                <w:bCs w:val="1"/>
                <w:i w:val="1"/>
                <w:iCs w:val="1"/>
                <w:color w:val="auto"/>
              </w:rPr>
              <w:t>666</w:t>
            </w:r>
          </w:p>
        </w:tc>
        <w:tc>
          <w:tcPr>
            <w:tcW w:w="100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1,906</w:t>
            </w:r>
          </w:p>
        </w:tc>
        <w:tc>
          <w:tcPr>
            <w:tcW w:w="0" w:type="dxa"/>
            <w:vAlign w:val="bottom"/>
          </w:tcPr>
          <w:p>
            <w:pPr>
              <w:spacing w:after="0"/>
              <w:rPr>
                <w:sz w:val="1"/>
                <w:szCs w:val="1"/>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9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b w:val="1"/>
                <w:bCs w:val="1"/>
                <w:color w:val="3C3C3B"/>
              </w:rPr>
              <w:t>At origin, denominated in CAD</w:t>
            </w:r>
          </w:p>
        </w:tc>
        <w:tc>
          <w:tcPr>
            <w:tcW w:w="2060" w:type="dxa"/>
            <w:vAlign w:val="bottom"/>
            <w:tcBorders>
              <w:bottom w:val="single" w:sz="8" w:color="FDF5E7"/>
            </w:tcBorders>
            <w:shd w:val="clear" w:color="auto" w:fill="FDF5E7"/>
          </w:tcPr>
          <w:p>
            <w:pPr>
              <w:spacing w:after="0"/>
              <w:rPr>
                <w:sz w:val="14"/>
                <w:szCs w:val="14"/>
                <w:color w:val="auto"/>
              </w:rPr>
            </w:pPr>
          </w:p>
        </w:tc>
        <w:tc>
          <w:tcPr>
            <w:tcW w:w="1000" w:type="dxa"/>
            <w:vAlign w:val="bottom"/>
            <w:tcBorders>
              <w:bottom w:val="single" w:sz="8" w:color="FDF5E7"/>
            </w:tcBorders>
            <w:shd w:val="clear" w:color="auto" w:fill="FDF5E7"/>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960" w:type="dxa"/>
            <w:vAlign w:val="bottom"/>
          </w:tcPr>
          <w:p>
            <w:pPr>
              <w:ind w:left="20"/>
              <w:spacing w:after="0"/>
              <w:rPr>
                <w:sz w:val="20"/>
                <w:szCs w:val="20"/>
                <w:color w:val="auto"/>
              </w:rPr>
            </w:pPr>
            <w:r>
              <w:rPr>
                <w:rFonts w:ascii="Arial" w:cs="Arial" w:eastAsia="Arial" w:hAnsi="Arial"/>
                <w:sz w:val="12"/>
                <w:szCs w:val="12"/>
                <w:color w:val="3C3C3B"/>
              </w:rPr>
              <w:t>Cash and cash equivalents</w:t>
            </w:r>
          </w:p>
        </w:tc>
        <w:tc>
          <w:tcPr>
            <w:tcW w:w="2060" w:type="dxa"/>
            <w:vAlign w:val="bottom"/>
          </w:tcPr>
          <w:p>
            <w:pPr>
              <w:jc w:val="right"/>
              <w:ind w:right="518"/>
              <w:spacing w:after="0"/>
              <w:rPr>
                <w:sz w:val="20"/>
                <w:szCs w:val="20"/>
                <w:color w:val="auto"/>
              </w:rPr>
            </w:pPr>
            <w:r>
              <w:rPr>
                <w:rFonts w:ascii="Arial" w:cs="Arial" w:eastAsia="Arial" w:hAnsi="Arial"/>
                <w:sz w:val="12"/>
                <w:szCs w:val="12"/>
                <w:color w:val="auto"/>
              </w:rPr>
              <w:t>34</w:t>
            </w:r>
          </w:p>
        </w:tc>
        <w:tc>
          <w:tcPr>
            <w:tcW w:w="1000" w:type="dxa"/>
            <w:vAlign w:val="bottom"/>
          </w:tcPr>
          <w:p>
            <w:pPr>
              <w:jc w:val="right"/>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79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Current and non current financial assets</w:t>
            </w:r>
          </w:p>
        </w:tc>
        <w:tc>
          <w:tcPr>
            <w:tcW w:w="2060" w:type="dxa"/>
            <w:vAlign w:val="bottom"/>
            <w:tcBorders>
              <w:bottom w:val="single" w:sz="8" w:color="FDF5E7"/>
            </w:tcBorders>
            <w:shd w:val="clear" w:color="auto" w:fill="FDF5E7"/>
          </w:tcPr>
          <w:p>
            <w:pPr>
              <w:jc w:val="right"/>
              <w:ind w:right="51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9"/>
        </w:trPr>
        <w:tc>
          <w:tcPr>
            <w:tcW w:w="7960" w:type="dxa"/>
            <w:vAlign w:val="bottom"/>
          </w:tcPr>
          <w:p>
            <w:pPr>
              <w:ind w:left="20"/>
              <w:spacing w:after="0"/>
              <w:rPr>
                <w:sz w:val="20"/>
                <w:szCs w:val="20"/>
                <w:color w:val="auto"/>
              </w:rPr>
            </w:pPr>
            <w:r>
              <w:rPr>
                <w:rFonts w:ascii="Arial" w:cs="Arial" w:eastAsia="Arial" w:hAnsi="Arial"/>
                <w:sz w:val="12"/>
                <w:szCs w:val="12"/>
                <w:b w:val="1"/>
                <w:bCs w:val="1"/>
                <w:i w:val="1"/>
                <w:iCs w:val="1"/>
                <w:color w:val="3C3C3B"/>
              </w:rPr>
              <w:t>Total</w:t>
            </w:r>
          </w:p>
        </w:tc>
        <w:tc>
          <w:tcPr>
            <w:tcW w:w="2060" w:type="dxa"/>
            <w:vAlign w:val="bottom"/>
          </w:tcPr>
          <w:p>
            <w:pPr>
              <w:jc w:val="right"/>
              <w:ind w:right="518"/>
              <w:spacing w:after="0"/>
              <w:rPr>
                <w:sz w:val="20"/>
                <w:szCs w:val="20"/>
                <w:color w:val="auto"/>
              </w:rPr>
            </w:pPr>
            <w:r>
              <w:rPr>
                <w:rFonts w:ascii="Arial" w:cs="Arial" w:eastAsia="Arial" w:hAnsi="Arial"/>
                <w:sz w:val="12"/>
                <w:szCs w:val="12"/>
                <w:b w:val="1"/>
                <w:bCs w:val="1"/>
                <w:i w:val="1"/>
                <w:iCs w:val="1"/>
                <w:color w:val="auto"/>
              </w:rPr>
              <w:t>34</w:t>
            </w:r>
          </w:p>
        </w:tc>
        <w:tc>
          <w:tcPr>
            <w:tcW w:w="100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103</w:t>
            </w:r>
          </w:p>
        </w:tc>
        <w:tc>
          <w:tcPr>
            <w:tcW w:w="0" w:type="dxa"/>
            <w:vAlign w:val="bottom"/>
          </w:tcPr>
          <w:p>
            <w:pPr>
              <w:spacing w:after="0"/>
              <w:rPr>
                <w:sz w:val="1"/>
                <w:szCs w:val="1"/>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9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b w:val="1"/>
                <w:bCs w:val="1"/>
                <w:color w:val="3C3C3B"/>
              </w:rPr>
              <w:t>Total, in EUR</w:t>
            </w:r>
          </w:p>
        </w:tc>
        <w:tc>
          <w:tcPr>
            <w:tcW w:w="2060" w:type="dxa"/>
            <w:vAlign w:val="bottom"/>
            <w:tcBorders>
              <w:bottom w:val="single" w:sz="8" w:color="FDF5E7"/>
            </w:tcBorders>
            <w:shd w:val="clear" w:color="auto" w:fill="FDF5E7"/>
          </w:tcPr>
          <w:p>
            <w:pPr>
              <w:spacing w:after="0"/>
              <w:rPr>
                <w:sz w:val="14"/>
                <w:szCs w:val="14"/>
                <w:color w:val="auto"/>
              </w:rPr>
            </w:pPr>
          </w:p>
        </w:tc>
        <w:tc>
          <w:tcPr>
            <w:tcW w:w="1000" w:type="dxa"/>
            <w:vAlign w:val="bottom"/>
            <w:tcBorders>
              <w:bottom w:val="single" w:sz="8" w:color="FDF5E7"/>
            </w:tcBorders>
            <w:shd w:val="clear" w:color="auto" w:fill="FDF5E7"/>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960" w:type="dxa"/>
            <w:vAlign w:val="bottom"/>
          </w:tcPr>
          <w:p>
            <w:pPr>
              <w:ind w:left="20"/>
              <w:spacing w:after="0"/>
              <w:rPr>
                <w:sz w:val="20"/>
                <w:szCs w:val="20"/>
                <w:color w:val="auto"/>
              </w:rPr>
            </w:pPr>
            <w:r>
              <w:rPr>
                <w:rFonts w:ascii="Arial" w:cs="Arial" w:eastAsia="Arial" w:hAnsi="Arial"/>
                <w:sz w:val="12"/>
                <w:szCs w:val="12"/>
                <w:color w:val="3C3C3B"/>
              </w:rPr>
              <w:t>Cash and cash equivalents</w:t>
            </w:r>
          </w:p>
        </w:tc>
        <w:tc>
          <w:tcPr>
            <w:tcW w:w="2060" w:type="dxa"/>
            <w:vAlign w:val="bottom"/>
          </w:tcPr>
          <w:p>
            <w:pPr>
              <w:jc w:val="right"/>
              <w:ind w:right="518"/>
              <w:spacing w:after="0"/>
              <w:rPr>
                <w:sz w:val="20"/>
                <w:szCs w:val="20"/>
                <w:color w:val="auto"/>
              </w:rPr>
            </w:pPr>
            <w:r>
              <w:rPr>
                <w:rFonts w:ascii="Arial" w:cs="Arial" w:eastAsia="Arial" w:hAnsi="Arial"/>
                <w:sz w:val="12"/>
                <w:szCs w:val="12"/>
                <w:color w:val="242424"/>
              </w:rPr>
              <w:t>81,788</w:t>
            </w:r>
          </w:p>
        </w:tc>
        <w:tc>
          <w:tcPr>
            <w:tcW w:w="1000" w:type="dxa"/>
            <w:vAlign w:val="bottom"/>
          </w:tcPr>
          <w:p>
            <w:pPr>
              <w:jc w:val="right"/>
              <w:spacing w:after="0"/>
              <w:rPr>
                <w:sz w:val="20"/>
                <w:szCs w:val="20"/>
                <w:color w:val="auto"/>
              </w:rPr>
            </w:pPr>
            <w:r>
              <w:rPr>
                <w:rFonts w:ascii="Arial" w:cs="Arial" w:eastAsia="Arial" w:hAnsi="Arial"/>
                <w:sz w:val="12"/>
                <w:szCs w:val="12"/>
                <w:color w:val="242424"/>
              </w:rPr>
              <w:t>107,511</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79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Current and non current financial assets</w:t>
            </w:r>
          </w:p>
        </w:tc>
        <w:tc>
          <w:tcPr>
            <w:tcW w:w="2060" w:type="dxa"/>
            <w:vAlign w:val="bottom"/>
            <w:tcBorders>
              <w:bottom w:val="single" w:sz="8" w:color="FDF5E7"/>
            </w:tcBorders>
            <w:shd w:val="clear" w:color="auto" w:fill="FDF5E7"/>
          </w:tcPr>
          <w:p>
            <w:pPr>
              <w:jc w:val="right"/>
              <w:ind w:right="518"/>
              <w:spacing w:after="0"/>
              <w:rPr>
                <w:sz w:val="20"/>
                <w:szCs w:val="20"/>
                <w:color w:val="auto"/>
              </w:rPr>
            </w:pPr>
            <w:r>
              <w:rPr>
                <w:rFonts w:ascii="Arial" w:cs="Arial" w:eastAsia="Arial" w:hAnsi="Arial"/>
                <w:sz w:val="12"/>
                <w:szCs w:val="12"/>
                <w:color w:val="242424"/>
              </w:rPr>
              <w:t>3,065</w:t>
            </w:r>
          </w:p>
        </w:tc>
        <w:tc>
          <w:tcPr>
            <w:tcW w:w="100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242424"/>
              </w:rPr>
              <w:t>3,002</w:t>
            </w:r>
          </w:p>
        </w:tc>
        <w:tc>
          <w:tcPr>
            <w:tcW w:w="0" w:type="dxa"/>
            <w:vAlign w:val="bottom"/>
          </w:tcPr>
          <w:p>
            <w:pPr>
              <w:spacing w:after="0"/>
              <w:rPr>
                <w:sz w:val="1"/>
                <w:szCs w:val="1"/>
                <w:color w:val="auto"/>
              </w:rPr>
            </w:pPr>
          </w:p>
        </w:tc>
      </w:tr>
      <w:tr>
        <w:trPr>
          <w:trHeight w:val="172"/>
        </w:trPr>
        <w:tc>
          <w:tcPr>
            <w:tcW w:w="796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3C3C3B"/>
              </w:rPr>
              <w:t>Total</w:t>
            </w:r>
          </w:p>
        </w:tc>
        <w:tc>
          <w:tcPr>
            <w:tcW w:w="2060" w:type="dxa"/>
            <w:vAlign w:val="bottom"/>
            <w:tcBorders>
              <w:top w:val="single" w:sz="8" w:color="auto"/>
            </w:tcBorders>
          </w:tcPr>
          <w:p>
            <w:pPr>
              <w:jc w:val="right"/>
              <w:ind w:right="518"/>
              <w:spacing w:after="0"/>
              <w:rPr>
                <w:sz w:val="20"/>
                <w:szCs w:val="20"/>
                <w:color w:val="auto"/>
              </w:rPr>
            </w:pPr>
            <w:r>
              <w:rPr>
                <w:rFonts w:ascii="Arial" w:cs="Arial" w:eastAsia="Arial" w:hAnsi="Arial"/>
                <w:sz w:val="12"/>
                <w:szCs w:val="12"/>
                <w:b w:val="1"/>
                <w:bCs w:val="1"/>
                <w:color w:val="E79B3F"/>
              </w:rPr>
              <w:t>84,853</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E79B3F"/>
              </w:rPr>
              <w:t>110,514</w:t>
            </w:r>
          </w:p>
        </w:tc>
        <w:tc>
          <w:tcPr>
            <w:tcW w:w="0" w:type="dxa"/>
            <w:vAlign w:val="bottom"/>
          </w:tcPr>
          <w:p>
            <w:pPr>
              <w:spacing w:after="0"/>
              <w:rPr>
                <w:sz w:val="1"/>
                <w:szCs w:val="1"/>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tables below show sensitivity analyses of the Group's cash and cash equivalents and expenses in both U.S. dollars Swiss francs.</w:t>
      </w:r>
    </w:p>
    <w:p>
      <w:pPr>
        <w:spacing w:after="0" w:line="335"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8"/>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24</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0"/>
        </w:trPr>
        <w:tc>
          <w:tcPr>
            <w:tcW w:w="8040" w:type="dxa"/>
            <w:vAlign w:val="bottom"/>
          </w:tcPr>
          <w:p>
            <w:pPr>
              <w:ind w:left="20"/>
              <w:spacing w:after="0"/>
              <w:rPr>
                <w:sz w:val="20"/>
                <w:szCs w:val="20"/>
                <w:color w:val="auto"/>
              </w:rPr>
            </w:pPr>
            <w:r>
              <w:rPr>
                <w:rFonts w:ascii="Arial" w:cs="Arial" w:eastAsia="Arial" w:hAnsi="Arial"/>
                <w:sz w:val="12"/>
                <w:szCs w:val="12"/>
                <w:b w:val="1"/>
                <w:bCs w:val="1"/>
                <w:color w:val="3C3C3B"/>
              </w:rPr>
              <w:t>Sensitivity analysis of the Group's cash and cash equivalents held in US dollars</w:t>
            </w:r>
          </w:p>
        </w:tc>
        <w:tc>
          <w:tcPr>
            <w:tcW w:w="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040" w:type="dxa"/>
            <w:vAlign w:val="bottom"/>
          </w:tcPr>
          <w:p>
            <w:pPr>
              <w:ind w:left="20"/>
              <w:spacing w:after="0"/>
              <w:rPr>
                <w:sz w:val="20"/>
                <w:szCs w:val="20"/>
                <w:color w:val="auto"/>
              </w:rPr>
            </w:pPr>
            <w:r>
              <w:rPr>
                <w:rFonts w:ascii="Arial" w:cs="Arial" w:eastAsia="Arial" w:hAnsi="Arial"/>
                <w:sz w:val="12"/>
                <w:szCs w:val="12"/>
                <w:b w:val="1"/>
                <w:bCs w:val="1"/>
                <w:color w:val="3C3C3B"/>
              </w:rPr>
              <w:t>Variation of +/- 10% of the US dollar vs the euro</w:t>
            </w:r>
          </w:p>
        </w:tc>
        <w:tc>
          <w:tcPr>
            <w:tcW w:w="40" w:type="dxa"/>
            <w:vAlign w:val="bottom"/>
          </w:tcPr>
          <w:p>
            <w:pPr>
              <w:spacing w:after="0"/>
              <w:rPr>
                <w:sz w:val="17"/>
                <w:szCs w:val="17"/>
                <w:color w:val="auto"/>
              </w:rPr>
            </w:pPr>
          </w:p>
        </w:tc>
        <w:tc>
          <w:tcPr>
            <w:tcW w:w="2240" w:type="dxa"/>
            <w:vAlign w:val="bottom"/>
          </w:tcPr>
          <w:p>
            <w:pPr>
              <w:jc w:val="right"/>
              <w:ind w:right="498"/>
              <w:spacing w:after="0"/>
              <w:rPr>
                <w:sz w:val="20"/>
                <w:szCs w:val="20"/>
                <w:color w:val="auto"/>
              </w:rPr>
            </w:pPr>
            <w:r>
              <w:rPr>
                <w:rFonts w:ascii="Arial" w:cs="Arial" w:eastAsia="Arial" w:hAnsi="Arial"/>
                <w:sz w:val="12"/>
                <w:szCs w:val="12"/>
                <w:b w:val="1"/>
                <w:bCs w:val="1"/>
                <w:color w:val="3C3C3B"/>
              </w:rPr>
              <w:t>As of</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40" w:type="dxa"/>
            <w:vAlign w:val="bottom"/>
          </w:tcPr>
          <w:p>
            <w:pPr>
              <w:ind w:left="20"/>
              <w:spacing w:after="0"/>
              <w:rPr>
                <w:sz w:val="20"/>
                <w:szCs w:val="20"/>
                <w:color w:val="auto"/>
              </w:rPr>
            </w:pPr>
            <w:r>
              <w:rPr>
                <w:rFonts w:ascii="Arial" w:cs="Arial" w:eastAsia="Arial" w:hAnsi="Arial"/>
                <w:sz w:val="12"/>
                <w:szCs w:val="12"/>
                <w:color w:val="3C3C3B"/>
              </w:rPr>
              <w:t>(in € thousands or in US dollar thousands, as applicable)</w:t>
            </w:r>
          </w:p>
        </w:tc>
        <w:tc>
          <w:tcPr>
            <w:tcW w:w="2280" w:type="dxa"/>
            <w:vAlign w:val="bottom"/>
            <w:gridSpan w:val="2"/>
          </w:tcPr>
          <w:p>
            <w:pPr>
              <w:jc w:val="right"/>
              <w:ind w:right="718"/>
              <w:spacing w:after="0"/>
              <w:rPr>
                <w:sz w:val="20"/>
                <w:szCs w:val="20"/>
                <w:color w:val="auto"/>
              </w:rPr>
            </w:pPr>
            <w:r>
              <w:rPr>
                <w:rFonts w:ascii="Arial" w:cs="Arial" w:eastAsia="Arial" w:hAnsi="Arial"/>
                <w:sz w:val="12"/>
                <w:szCs w:val="12"/>
                <w:b w:val="1"/>
                <w:bCs w:val="1"/>
                <w:color w:val="3C3C3B"/>
              </w:rPr>
              <w:t>2024/12/31</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c>
          <w:tcPr>
            <w:tcW w:w="0" w:type="dxa"/>
            <w:vAlign w:val="bottom"/>
          </w:tcPr>
          <w:p>
            <w:pPr>
              <w:spacing w:after="0"/>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804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Cash and cash equivalents denominated in US dollars</w:t>
            </w:r>
          </w:p>
        </w:tc>
        <w:tc>
          <w:tcPr>
            <w:tcW w:w="2280" w:type="dxa"/>
            <w:vAlign w:val="bottom"/>
            <w:tcBorders>
              <w:bottom w:val="single" w:sz="8" w:color="FDF5E7"/>
            </w:tcBorders>
            <w:gridSpan w:val="2"/>
            <w:shd w:val="clear" w:color="auto" w:fill="FDF5E7"/>
          </w:tcPr>
          <w:p>
            <w:pPr>
              <w:jc w:val="right"/>
              <w:ind w:right="718"/>
              <w:spacing w:after="0"/>
              <w:rPr>
                <w:sz w:val="20"/>
                <w:szCs w:val="20"/>
                <w:color w:val="auto"/>
              </w:rPr>
            </w:pPr>
            <w:r>
              <w:rPr>
                <w:rFonts w:ascii="Arial" w:cs="Arial" w:eastAsia="Arial" w:hAnsi="Arial"/>
                <w:sz w:val="12"/>
                <w:szCs w:val="12"/>
                <w:color w:val="auto"/>
              </w:rPr>
              <w:t>10,800</w:t>
            </w:r>
          </w:p>
        </w:tc>
        <w:tc>
          <w:tcPr>
            <w:tcW w:w="86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16,219</w:t>
            </w:r>
          </w:p>
        </w:tc>
        <w:tc>
          <w:tcPr>
            <w:tcW w:w="0" w:type="dxa"/>
            <w:vAlign w:val="bottom"/>
          </w:tcPr>
          <w:p>
            <w:pPr>
              <w:spacing w:after="0"/>
              <w:rPr>
                <w:sz w:val="1"/>
                <w:szCs w:val="1"/>
                <w:color w:val="auto"/>
              </w:rPr>
            </w:pPr>
          </w:p>
        </w:tc>
      </w:tr>
      <w:tr>
        <w:trPr>
          <w:trHeight w:val="173"/>
        </w:trPr>
        <w:tc>
          <w:tcPr>
            <w:tcW w:w="8040" w:type="dxa"/>
            <w:vAlign w:val="bottom"/>
          </w:tcPr>
          <w:p>
            <w:pPr>
              <w:ind w:left="20"/>
              <w:spacing w:after="0"/>
              <w:rPr>
                <w:sz w:val="20"/>
                <w:szCs w:val="20"/>
                <w:color w:val="auto"/>
              </w:rPr>
            </w:pPr>
            <w:r>
              <w:rPr>
                <w:rFonts w:ascii="Arial" w:cs="Arial" w:eastAsia="Arial" w:hAnsi="Arial"/>
                <w:sz w:val="12"/>
                <w:szCs w:val="12"/>
                <w:color w:val="3C3C3B"/>
              </w:rPr>
              <w:t>Equivalent in euros, on the basis of the exchange rate described below</w:t>
            </w:r>
          </w:p>
        </w:tc>
        <w:tc>
          <w:tcPr>
            <w:tcW w:w="2280" w:type="dxa"/>
            <w:vAlign w:val="bottom"/>
            <w:gridSpan w:val="2"/>
          </w:tcPr>
          <w:p>
            <w:pPr>
              <w:jc w:val="right"/>
              <w:ind w:right="718"/>
              <w:spacing w:after="0"/>
              <w:rPr>
                <w:sz w:val="20"/>
                <w:szCs w:val="20"/>
                <w:color w:val="auto"/>
              </w:rPr>
            </w:pPr>
            <w:r>
              <w:rPr>
                <w:rFonts w:ascii="Arial" w:cs="Arial" w:eastAsia="Arial" w:hAnsi="Arial"/>
                <w:sz w:val="12"/>
                <w:szCs w:val="12"/>
                <w:color w:val="auto"/>
              </w:rPr>
              <w:t>10,395</w:t>
            </w:r>
          </w:p>
        </w:tc>
        <w:tc>
          <w:tcPr>
            <w:tcW w:w="860" w:type="dxa"/>
            <w:vAlign w:val="bottom"/>
          </w:tcPr>
          <w:p>
            <w:pPr>
              <w:jc w:val="right"/>
              <w:spacing w:after="0"/>
              <w:rPr>
                <w:sz w:val="20"/>
                <w:szCs w:val="20"/>
                <w:color w:val="auto"/>
              </w:rPr>
            </w:pPr>
            <w:r>
              <w:rPr>
                <w:rFonts w:ascii="Arial" w:cs="Arial" w:eastAsia="Arial" w:hAnsi="Arial"/>
                <w:sz w:val="12"/>
                <w:szCs w:val="12"/>
                <w:color w:val="auto"/>
              </w:rPr>
              <w:t>13,839</w:t>
            </w:r>
          </w:p>
        </w:tc>
        <w:tc>
          <w:tcPr>
            <w:tcW w:w="0" w:type="dxa"/>
            <w:vAlign w:val="bottom"/>
          </w:tcPr>
          <w:p>
            <w:pPr>
              <w:spacing w:after="0"/>
              <w:rPr>
                <w:sz w:val="1"/>
                <w:szCs w:val="1"/>
                <w:color w:val="auto"/>
              </w:rPr>
            </w:pPr>
          </w:p>
        </w:tc>
      </w:tr>
      <w:tr>
        <w:trPr>
          <w:trHeight w:val="26"/>
        </w:trPr>
        <w:tc>
          <w:tcPr>
            <w:tcW w:w="8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4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Equivalent in euros, in the event of an increase of 10% of US dollar vs euro</w:t>
            </w:r>
          </w:p>
        </w:tc>
        <w:tc>
          <w:tcPr>
            <w:tcW w:w="2280" w:type="dxa"/>
            <w:vAlign w:val="bottom"/>
            <w:tcBorders>
              <w:bottom w:val="single" w:sz="8" w:color="FDF5E7"/>
            </w:tcBorders>
            <w:gridSpan w:val="2"/>
            <w:shd w:val="clear" w:color="auto" w:fill="FDF5E7"/>
          </w:tcPr>
          <w:p>
            <w:pPr>
              <w:jc w:val="right"/>
              <w:ind w:right="718"/>
              <w:spacing w:after="0"/>
              <w:rPr>
                <w:sz w:val="20"/>
                <w:szCs w:val="20"/>
                <w:color w:val="auto"/>
              </w:rPr>
            </w:pPr>
            <w:r>
              <w:rPr>
                <w:rFonts w:ascii="Arial" w:cs="Arial" w:eastAsia="Arial" w:hAnsi="Arial"/>
                <w:sz w:val="12"/>
                <w:szCs w:val="12"/>
                <w:color w:val="auto"/>
              </w:rPr>
              <w:t>11,550</w:t>
            </w:r>
          </w:p>
        </w:tc>
        <w:tc>
          <w:tcPr>
            <w:tcW w:w="86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15,377</w:t>
            </w:r>
          </w:p>
        </w:tc>
        <w:tc>
          <w:tcPr>
            <w:tcW w:w="0" w:type="dxa"/>
            <w:vAlign w:val="bottom"/>
          </w:tcPr>
          <w:p>
            <w:pPr>
              <w:spacing w:after="0"/>
              <w:rPr>
                <w:sz w:val="1"/>
                <w:szCs w:val="1"/>
                <w:color w:val="auto"/>
              </w:rPr>
            </w:pPr>
          </w:p>
        </w:tc>
      </w:tr>
      <w:tr>
        <w:trPr>
          <w:trHeight w:val="173"/>
        </w:trPr>
        <w:tc>
          <w:tcPr>
            <w:tcW w:w="8040" w:type="dxa"/>
            <w:vAlign w:val="bottom"/>
          </w:tcPr>
          <w:p>
            <w:pPr>
              <w:ind w:left="20"/>
              <w:spacing w:after="0"/>
              <w:rPr>
                <w:sz w:val="20"/>
                <w:szCs w:val="20"/>
                <w:color w:val="auto"/>
              </w:rPr>
            </w:pPr>
            <w:r>
              <w:rPr>
                <w:rFonts w:ascii="Arial" w:cs="Arial" w:eastAsia="Arial" w:hAnsi="Arial"/>
                <w:sz w:val="12"/>
                <w:szCs w:val="12"/>
                <w:color w:val="3C3C3B"/>
              </w:rPr>
              <w:t>Equivalent in euros, in the event of a decrease of 10% of US dollar vs euro</w:t>
            </w:r>
          </w:p>
        </w:tc>
        <w:tc>
          <w:tcPr>
            <w:tcW w:w="2280" w:type="dxa"/>
            <w:vAlign w:val="bottom"/>
            <w:gridSpan w:val="2"/>
          </w:tcPr>
          <w:p>
            <w:pPr>
              <w:jc w:val="right"/>
              <w:ind w:right="718"/>
              <w:spacing w:after="0"/>
              <w:rPr>
                <w:sz w:val="20"/>
                <w:szCs w:val="20"/>
                <w:color w:val="auto"/>
              </w:rPr>
            </w:pPr>
            <w:r>
              <w:rPr>
                <w:rFonts w:ascii="Arial" w:cs="Arial" w:eastAsia="Arial" w:hAnsi="Arial"/>
                <w:sz w:val="12"/>
                <w:szCs w:val="12"/>
                <w:color w:val="auto"/>
              </w:rPr>
              <w:t>9,450</w:t>
            </w:r>
          </w:p>
        </w:tc>
        <w:tc>
          <w:tcPr>
            <w:tcW w:w="860" w:type="dxa"/>
            <w:vAlign w:val="bottom"/>
          </w:tcPr>
          <w:p>
            <w:pPr>
              <w:jc w:val="right"/>
              <w:spacing w:after="0"/>
              <w:rPr>
                <w:sz w:val="20"/>
                <w:szCs w:val="20"/>
                <w:color w:val="auto"/>
              </w:rPr>
            </w:pPr>
            <w:r>
              <w:rPr>
                <w:rFonts w:ascii="Arial" w:cs="Arial" w:eastAsia="Arial" w:hAnsi="Arial"/>
                <w:sz w:val="12"/>
                <w:szCs w:val="12"/>
                <w:color w:val="auto"/>
              </w:rPr>
              <w:t>12,581</w:t>
            </w:r>
          </w:p>
        </w:tc>
        <w:tc>
          <w:tcPr>
            <w:tcW w:w="0" w:type="dxa"/>
            <w:vAlign w:val="bottom"/>
          </w:tcPr>
          <w:p>
            <w:pPr>
              <w:spacing w:after="0"/>
              <w:rPr>
                <w:sz w:val="1"/>
                <w:szCs w:val="1"/>
                <w:color w:val="auto"/>
              </w:rPr>
            </w:pPr>
          </w:p>
        </w:tc>
      </w:tr>
      <w:tr>
        <w:trPr>
          <w:trHeight w:val="26"/>
        </w:trPr>
        <w:tc>
          <w:tcPr>
            <w:tcW w:w="8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3"/>
        </w:trPr>
        <w:tc>
          <w:tcPr>
            <w:tcW w:w="8040" w:type="dxa"/>
            <w:vAlign w:val="bottom"/>
          </w:tcPr>
          <w:p>
            <w:pPr>
              <w:ind w:left="20"/>
              <w:spacing w:after="0"/>
              <w:rPr>
                <w:sz w:val="20"/>
                <w:szCs w:val="20"/>
                <w:color w:val="auto"/>
              </w:rPr>
            </w:pPr>
            <w:r>
              <w:rPr>
                <w:rFonts w:ascii="Arial" w:cs="Arial" w:eastAsia="Arial" w:hAnsi="Arial"/>
                <w:sz w:val="12"/>
                <w:szCs w:val="12"/>
                <w:b w:val="1"/>
                <w:bCs w:val="1"/>
                <w:color w:val="auto"/>
              </w:rPr>
              <w:t>Sensitivity analysis of the Group's expenses transacted in US dollars</w:t>
            </w: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040" w:type="dxa"/>
            <w:vAlign w:val="bottom"/>
          </w:tcPr>
          <w:p>
            <w:pPr>
              <w:ind w:left="20"/>
              <w:spacing w:after="0"/>
              <w:rPr>
                <w:sz w:val="20"/>
                <w:szCs w:val="20"/>
                <w:color w:val="auto"/>
              </w:rPr>
            </w:pPr>
            <w:r>
              <w:rPr>
                <w:rFonts w:ascii="Arial" w:cs="Arial" w:eastAsia="Arial" w:hAnsi="Arial"/>
                <w:sz w:val="12"/>
                <w:szCs w:val="12"/>
                <w:b w:val="1"/>
                <w:bCs w:val="1"/>
                <w:color w:val="auto"/>
              </w:rPr>
              <w:t>Variation of +/- 10% of the US dollar vs the euro</w:t>
            </w:r>
          </w:p>
        </w:tc>
        <w:tc>
          <w:tcPr>
            <w:tcW w:w="40" w:type="dxa"/>
            <w:vAlign w:val="bottom"/>
          </w:tcPr>
          <w:p>
            <w:pPr>
              <w:spacing w:after="0"/>
              <w:rPr>
                <w:sz w:val="17"/>
                <w:szCs w:val="17"/>
                <w:color w:val="auto"/>
              </w:rPr>
            </w:pPr>
          </w:p>
        </w:tc>
        <w:tc>
          <w:tcPr>
            <w:tcW w:w="2240" w:type="dxa"/>
            <w:vAlign w:val="bottom"/>
          </w:tcPr>
          <w:p>
            <w:pPr>
              <w:jc w:val="right"/>
              <w:ind w:right="178"/>
              <w:spacing w:after="0"/>
              <w:rPr>
                <w:sz w:val="20"/>
                <w:szCs w:val="20"/>
                <w:color w:val="auto"/>
              </w:rPr>
            </w:pPr>
            <w:r>
              <w:rPr>
                <w:rFonts w:ascii="Arial" w:cs="Arial" w:eastAsia="Arial" w:hAnsi="Arial"/>
                <w:sz w:val="12"/>
                <w:szCs w:val="12"/>
                <w:b w:val="1"/>
                <w:bCs w:val="1"/>
                <w:color w:val="3C3C3B"/>
              </w:rPr>
              <w:t>Half-year ended</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ind w:left="20"/>
              <w:spacing w:after="0"/>
              <w:rPr>
                <w:sz w:val="20"/>
                <w:szCs w:val="20"/>
                <w:color w:val="auto"/>
              </w:rPr>
            </w:pPr>
            <w:r>
              <w:rPr>
                <w:rFonts w:ascii="Arial" w:cs="Arial" w:eastAsia="Arial" w:hAnsi="Arial"/>
                <w:sz w:val="12"/>
                <w:szCs w:val="12"/>
                <w:color w:val="auto"/>
              </w:rPr>
              <w:t>(in € thousands or in US dollar thousands, as applicable)</w:t>
            </w:r>
          </w:p>
        </w:tc>
        <w:tc>
          <w:tcPr>
            <w:tcW w:w="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8040" w:type="dxa"/>
            <w:vAlign w:val="bottom"/>
            <w:vMerge w:val="continue"/>
          </w:tcPr>
          <w:p>
            <w:pPr>
              <w:spacing w:after="0"/>
              <w:rPr>
                <w:sz w:val="14"/>
                <w:szCs w:val="14"/>
                <w:color w:val="auto"/>
              </w:rPr>
            </w:pPr>
          </w:p>
        </w:tc>
        <w:tc>
          <w:tcPr>
            <w:tcW w:w="2280" w:type="dxa"/>
            <w:vAlign w:val="bottom"/>
            <w:gridSpan w:val="2"/>
          </w:tcPr>
          <w:p>
            <w:pPr>
              <w:jc w:val="right"/>
              <w:ind w:right="718"/>
              <w:spacing w:after="0"/>
              <w:rPr>
                <w:sz w:val="20"/>
                <w:szCs w:val="20"/>
                <w:color w:val="auto"/>
              </w:rPr>
            </w:pPr>
            <w:r>
              <w:rPr>
                <w:rFonts w:ascii="Arial" w:cs="Arial" w:eastAsia="Arial" w:hAnsi="Arial"/>
                <w:sz w:val="12"/>
                <w:szCs w:val="12"/>
                <w:b w:val="1"/>
                <w:bCs w:val="1"/>
                <w:color w:val="3C3C3B"/>
              </w:rPr>
              <w:t>2024/06/30</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c>
          <w:tcPr>
            <w:tcW w:w="0" w:type="dxa"/>
            <w:vAlign w:val="bottom"/>
          </w:tcPr>
          <w:p>
            <w:pPr>
              <w:spacing w:after="0"/>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804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auto"/>
              </w:rPr>
              <w:t>Expenses denominated in US dollars</w:t>
            </w:r>
          </w:p>
        </w:tc>
        <w:tc>
          <w:tcPr>
            <w:tcW w:w="2280" w:type="dxa"/>
            <w:vAlign w:val="bottom"/>
            <w:tcBorders>
              <w:bottom w:val="single" w:sz="8" w:color="FDF5E7"/>
            </w:tcBorders>
            <w:gridSpan w:val="2"/>
            <w:shd w:val="clear" w:color="auto" w:fill="FDF5E7"/>
          </w:tcPr>
          <w:p>
            <w:pPr>
              <w:jc w:val="right"/>
              <w:ind w:right="718"/>
              <w:spacing w:after="0"/>
              <w:rPr>
                <w:sz w:val="20"/>
                <w:szCs w:val="20"/>
                <w:color w:val="auto"/>
              </w:rPr>
            </w:pPr>
            <w:r>
              <w:rPr>
                <w:rFonts w:ascii="Arial" w:cs="Arial" w:eastAsia="Arial" w:hAnsi="Arial"/>
                <w:sz w:val="12"/>
                <w:szCs w:val="12"/>
                <w:color w:val="auto"/>
              </w:rPr>
              <w:t>6,991</w:t>
            </w:r>
          </w:p>
        </w:tc>
        <w:tc>
          <w:tcPr>
            <w:tcW w:w="86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4,187</w:t>
            </w:r>
          </w:p>
        </w:tc>
        <w:tc>
          <w:tcPr>
            <w:tcW w:w="0" w:type="dxa"/>
            <w:vAlign w:val="bottom"/>
          </w:tcPr>
          <w:p>
            <w:pPr>
              <w:spacing w:after="0"/>
              <w:rPr>
                <w:sz w:val="1"/>
                <w:szCs w:val="1"/>
                <w:color w:val="auto"/>
              </w:rPr>
            </w:pPr>
          </w:p>
        </w:tc>
      </w:tr>
      <w:tr>
        <w:trPr>
          <w:trHeight w:val="173"/>
        </w:trPr>
        <w:tc>
          <w:tcPr>
            <w:tcW w:w="8040" w:type="dxa"/>
            <w:vAlign w:val="bottom"/>
          </w:tcPr>
          <w:p>
            <w:pPr>
              <w:ind w:left="20"/>
              <w:spacing w:after="0"/>
              <w:rPr>
                <w:sz w:val="20"/>
                <w:szCs w:val="20"/>
                <w:color w:val="auto"/>
              </w:rPr>
            </w:pPr>
            <w:r>
              <w:rPr>
                <w:rFonts w:ascii="Arial" w:cs="Arial" w:eastAsia="Arial" w:hAnsi="Arial"/>
                <w:sz w:val="12"/>
                <w:szCs w:val="12"/>
                <w:color w:val="auto"/>
              </w:rPr>
              <w:t>Equivalent in euros, on the basis of the exchange rate described below</w:t>
            </w:r>
          </w:p>
        </w:tc>
        <w:tc>
          <w:tcPr>
            <w:tcW w:w="2280" w:type="dxa"/>
            <w:vAlign w:val="bottom"/>
            <w:gridSpan w:val="2"/>
          </w:tcPr>
          <w:p>
            <w:pPr>
              <w:jc w:val="right"/>
              <w:ind w:right="718"/>
              <w:spacing w:after="0"/>
              <w:rPr>
                <w:sz w:val="20"/>
                <w:szCs w:val="20"/>
                <w:color w:val="auto"/>
              </w:rPr>
            </w:pPr>
            <w:r>
              <w:rPr>
                <w:rFonts w:ascii="Arial" w:cs="Arial" w:eastAsia="Arial" w:hAnsi="Arial"/>
                <w:sz w:val="12"/>
                <w:szCs w:val="12"/>
                <w:color w:val="auto"/>
              </w:rPr>
              <w:t>6,531</w:t>
            </w:r>
          </w:p>
        </w:tc>
        <w:tc>
          <w:tcPr>
            <w:tcW w:w="860" w:type="dxa"/>
            <w:vAlign w:val="bottom"/>
          </w:tcPr>
          <w:p>
            <w:pPr>
              <w:jc w:val="right"/>
              <w:spacing w:after="0"/>
              <w:rPr>
                <w:sz w:val="20"/>
                <w:szCs w:val="20"/>
                <w:color w:val="auto"/>
              </w:rPr>
            </w:pPr>
            <w:r>
              <w:rPr>
                <w:rFonts w:ascii="Arial" w:cs="Arial" w:eastAsia="Arial" w:hAnsi="Arial"/>
                <w:sz w:val="12"/>
                <w:szCs w:val="12"/>
                <w:color w:val="auto"/>
              </w:rPr>
              <w:t>3,572</w:t>
            </w:r>
          </w:p>
        </w:tc>
        <w:tc>
          <w:tcPr>
            <w:tcW w:w="0" w:type="dxa"/>
            <w:vAlign w:val="bottom"/>
          </w:tcPr>
          <w:p>
            <w:pPr>
              <w:spacing w:after="0"/>
              <w:rPr>
                <w:sz w:val="1"/>
                <w:szCs w:val="1"/>
                <w:color w:val="auto"/>
              </w:rPr>
            </w:pPr>
          </w:p>
        </w:tc>
      </w:tr>
      <w:tr>
        <w:trPr>
          <w:trHeight w:val="26"/>
        </w:trPr>
        <w:tc>
          <w:tcPr>
            <w:tcW w:w="8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4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auto"/>
              </w:rPr>
              <w:t>Equivalent in euros, in the event of an increase of 10% of US dollar vs euro</w:t>
            </w:r>
          </w:p>
        </w:tc>
        <w:tc>
          <w:tcPr>
            <w:tcW w:w="2280" w:type="dxa"/>
            <w:vAlign w:val="bottom"/>
            <w:tcBorders>
              <w:bottom w:val="single" w:sz="8" w:color="FDF5E7"/>
            </w:tcBorders>
            <w:gridSpan w:val="2"/>
            <w:shd w:val="clear" w:color="auto" w:fill="FDF5E7"/>
          </w:tcPr>
          <w:p>
            <w:pPr>
              <w:jc w:val="right"/>
              <w:ind w:right="718"/>
              <w:spacing w:after="0"/>
              <w:rPr>
                <w:sz w:val="20"/>
                <w:szCs w:val="20"/>
                <w:color w:val="auto"/>
              </w:rPr>
            </w:pPr>
            <w:r>
              <w:rPr>
                <w:rFonts w:ascii="Arial" w:cs="Arial" w:eastAsia="Arial" w:hAnsi="Arial"/>
                <w:sz w:val="12"/>
                <w:szCs w:val="12"/>
                <w:color w:val="242424"/>
              </w:rPr>
              <w:t>7,256</w:t>
            </w:r>
          </w:p>
        </w:tc>
        <w:tc>
          <w:tcPr>
            <w:tcW w:w="86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3,969</w:t>
            </w:r>
          </w:p>
        </w:tc>
        <w:tc>
          <w:tcPr>
            <w:tcW w:w="0" w:type="dxa"/>
            <w:vAlign w:val="bottom"/>
          </w:tcPr>
          <w:p>
            <w:pPr>
              <w:spacing w:after="0"/>
              <w:rPr>
                <w:sz w:val="1"/>
                <w:szCs w:val="1"/>
                <w:color w:val="auto"/>
              </w:rPr>
            </w:pPr>
          </w:p>
        </w:tc>
      </w:tr>
      <w:tr>
        <w:trPr>
          <w:trHeight w:val="173"/>
        </w:trPr>
        <w:tc>
          <w:tcPr>
            <w:tcW w:w="8040" w:type="dxa"/>
            <w:vAlign w:val="bottom"/>
          </w:tcPr>
          <w:p>
            <w:pPr>
              <w:ind w:left="20"/>
              <w:spacing w:after="0"/>
              <w:rPr>
                <w:sz w:val="20"/>
                <w:szCs w:val="20"/>
                <w:color w:val="auto"/>
              </w:rPr>
            </w:pPr>
            <w:r>
              <w:rPr>
                <w:rFonts w:ascii="Arial" w:cs="Arial" w:eastAsia="Arial" w:hAnsi="Arial"/>
                <w:sz w:val="12"/>
                <w:szCs w:val="12"/>
                <w:color w:val="auto"/>
              </w:rPr>
              <w:t>Equivalent in euros, in the event of a decrease of 10% of US dollar vs euro</w:t>
            </w:r>
          </w:p>
        </w:tc>
        <w:tc>
          <w:tcPr>
            <w:tcW w:w="2280" w:type="dxa"/>
            <w:vAlign w:val="bottom"/>
            <w:gridSpan w:val="2"/>
          </w:tcPr>
          <w:p>
            <w:pPr>
              <w:jc w:val="right"/>
              <w:ind w:right="718"/>
              <w:spacing w:after="0"/>
              <w:rPr>
                <w:sz w:val="20"/>
                <w:szCs w:val="20"/>
                <w:color w:val="auto"/>
              </w:rPr>
            </w:pPr>
            <w:r>
              <w:rPr>
                <w:rFonts w:ascii="Arial" w:cs="Arial" w:eastAsia="Arial" w:hAnsi="Arial"/>
                <w:sz w:val="12"/>
                <w:szCs w:val="12"/>
                <w:color w:val="242424"/>
              </w:rPr>
              <w:t>5,937</w:t>
            </w:r>
          </w:p>
        </w:tc>
        <w:tc>
          <w:tcPr>
            <w:tcW w:w="860" w:type="dxa"/>
            <w:vAlign w:val="bottom"/>
          </w:tcPr>
          <w:p>
            <w:pPr>
              <w:jc w:val="right"/>
              <w:spacing w:after="0"/>
              <w:rPr>
                <w:sz w:val="20"/>
                <w:szCs w:val="20"/>
                <w:color w:val="auto"/>
              </w:rPr>
            </w:pPr>
            <w:r>
              <w:rPr>
                <w:rFonts w:ascii="Arial" w:cs="Arial" w:eastAsia="Arial" w:hAnsi="Arial"/>
                <w:sz w:val="12"/>
                <w:szCs w:val="12"/>
                <w:color w:val="auto"/>
              </w:rPr>
              <w:t>3,248</w:t>
            </w:r>
          </w:p>
        </w:tc>
        <w:tc>
          <w:tcPr>
            <w:tcW w:w="0" w:type="dxa"/>
            <w:vAlign w:val="bottom"/>
          </w:tcPr>
          <w:p>
            <w:pPr>
              <w:spacing w:after="0"/>
              <w:rPr>
                <w:sz w:val="1"/>
                <w:szCs w:val="1"/>
                <w:color w:val="auto"/>
              </w:rPr>
            </w:pPr>
          </w:p>
        </w:tc>
      </w:tr>
      <w:tr>
        <w:trPr>
          <w:trHeight w:val="26"/>
        </w:trPr>
        <w:tc>
          <w:tcPr>
            <w:tcW w:w="8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8040" w:type="dxa"/>
            <w:vAlign w:val="bottom"/>
          </w:tcPr>
          <w:p>
            <w:pPr>
              <w:ind w:left="20"/>
              <w:spacing w:after="0"/>
              <w:rPr>
                <w:sz w:val="20"/>
                <w:szCs w:val="20"/>
                <w:color w:val="auto"/>
              </w:rPr>
            </w:pPr>
            <w:r>
              <w:rPr>
                <w:rFonts w:ascii="Arial" w:cs="Arial" w:eastAsia="Arial" w:hAnsi="Arial"/>
                <w:sz w:val="12"/>
                <w:szCs w:val="12"/>
                <w:color w:val="auto"/>
              </w:rPr>
              <w:t>2025/06/30 : Equivalent in euros, on the basis of 1 dollar US = 0,85324 euros</w:t>
            </w:r>
          </w:p>
        </w:tc>
        <w:tc>
          <w:tcPr>
            <w:tcW w:w="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040" w:type="dxa"/>
            <w:vAlign w:val="bottom"/>
          </w:tcPr>
          <w:p>
            <w:pPr>
              <w:ind w:left="20"/>
              <w:spacing w:after="0"/>
              <w:rPr>
                <w:sz w:val="20"/>
                <w:szCs w:val="20"/>
                <w:color w:val="auto"/>
              </w:rPr>
            </w:pPr>
            <w:r>
              <w:rPr>
                <w:rFonts w:ascii="Arial" w:cs="Arial" w:eastAsia="Arial" w:hAnsi="Arial"/>
                <w:sz w:val="12"/>
                <w:szCs w:val="12"/>
                <w:color w:val="auto"/>
              </w:rPr>
              <w:t>2024/06/30 : Equivalent in euros, on the basis of 1 dollar US = 0,93414 euros</w:t>
            </w:r>
          </w:p>
        </w:tc>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3"/>
        </w:trPr>
        <w:tc>
          <w:tcPr>
            <w:tcW w:w="8040" w:type="dxa"/>
            <w:vAlign w:val="bottom"/>
          </w:tcPr>
          <w:p>
            <w:pPr>
              <w:ind w:left="20"/>
              <w:spacing w:after="0"/>
              <w:rPr>
                <w:sz w:val="20"/>
                <w:szCs w:val="20"/>
                <w:color w:val="auto"/>
              </w:rPr>
            </w:pPr>
            <w:r>
              <w:rPr>
                <w:rFonts w:ascii="Arial" w:cs="Arial" w:eastAsia="Arial" w:hAnsi="Arial"/>
                <w:sz w:val="12"/>
                <w:szCs w:val="12"/>
                <w:b w:val="1"/>
                <w:bCs w:val="1"/>
                <w:color w:val="3C3C3B"/>
              </w:rPr>
              <w:t>Sensitivity analysis of the Group's cash and cash equivalents held in CH franc</w:t>
            </w: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040" w:type="dxa"/>
            <w:vAlign w:val="bottom"/>
          </w:tcPr>
          <w:p>
            <w:pPr>
              <w:ind w:left="20"/>
              <w:spacing w:after="0"/>
              <w:rPr>
                <w:sz w:val="20"/>
                <w:szCs w:val="20"/>
                <w:color w:val="auto"/>
              </w:rPr>
            </w:pPr>
            <w:r>
              <w:rPr>
                <w:rFonts w:ascii="Arial" w:cs="Arial" w:eastAsia="Arial" w:hAnsi="Arial"/>
                <w:sz w:val="12"/>
                <w:szCs w:val="12"/>
                <w:b w:val="1"/>
                <w:bCs w:val="1"/>
                <w:color w:val="3C3C3B"/>
              </w:rPr>
              <w:t>Variation of +/- 10% of the CH franc vs the euro</w:t>
            </w:r>
          </w:p>
        </w:tc>
        <w:tc>
          <w:tcPr>
            <w:tcW w:w="40" w:type="dxa"/>
            <w:vAlign w:val="bottom"/>
          </w:tcPr>
          <w:p>
            <w:pPr>
              <w:spacing w:after="0"/>
              <w:rPr>
                <w:sz w:val="17"/>
                <w:szCs w:val="17"/>
                <w:color w:val="auto"/>
              </w:rPr>
            </w:pPr>
          </w:p>
        </w:tc>
        <w:tc>
          <w:tcPr>
            <w:tcW w:w="2240" w:type="dxa"/>
            <w:vAlign w:val="bottom"/>
          </w:tcPr>
          <w:p>
            <w:pPr>
              <w:jc w:val="right"/>
              <w:ind w:right="478"/>
              <w:spacing w:after="0"/>
              <w:rPr>
                <w:sz w:val="20"/>
                <w:szCs w:val="20"/>
                <w:color w:val="auto"/>
              </w:rPr>
            </w:pPr>
            <w:r>
              <w:rPr>
                <w:rFonts w:ascii="Arial" w:cs="Arial" w:eastAsia="Arial" w:hAnsi="Arial"/>
                <w:sz w:val="12"/>
                <w:szCs w:val="12"/>
                <w:b w:val="1"/>
                <w:bCs w:val="1"/>
                <w:color w:val="242424"/>
              </w:rPr>
              <w:t>As of</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ind w:left="20"/>
              <w:spacing w:after="0"/>
              <w:rPr>
                <w:sz w:val="20"/>
                <w:szCs w:val="20"/>
                <w:color w:val="auto"/>
              </w:rPr>
            </w:pPr>
            <w:r>
              <w:rPr>
                <w:rFonts w:ascii="Arial" w:cs="Arial" w:eastAsia="Arial" w:hAnsi="Arial"/>
                <w:sz w:val="12"/>
                <w:szCs w:val="12"/>
                <w:b w:val="1"/>
                <w:bCs w:val="1"/>
                <w:color w:val="242424"/>
              </w:rPr>
              <w:t>(in € thousands or in CH franc thousands, as applicable)</w:t>
            </w:r>
          </w:p>
        </w:tc>
        <w:tc>
          <w:tcPr>
            <w:tcW w:w="4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8040" w:type="dxa"/>
            <w:vAlign w:val="bottom"/>
            <w:vMerge w:val="continue"/>
          </w:tcPr>
          <w:p>
            <w:pPr>
              <w:spacing w:after="0"/>
              <w:rPr>
                <w:sz w:val="14"/>
                <w:szCs w:val="14"/>
                <w:color w:val="auto"/>
              </w:rPr>
            </w:pPr>
          </w:p>
        </w:tc>
        <w:tc>
          <w:tcPr>
            <w:tcW w:w="2280" w:type="dxa"/>
            <w:vAlign w:val="bottom"/>
            <w:gridSpan w:val="2"/>
          </w:tcPr>
          <w:p>
            <w:pPr>
              <w:jc w:val="right"/>
              <w:ind w:right="678"/>
              <w:spacing w:after="0"/>
              <w:rPr>
                <w:sz w:val="20"/>
                <w:szCs w:val="20"/>
                <w:color w:val="auto"/>
              </w:rPr>
            </w:pPr>
            <w:r>
              <w:rPr>
                <w:rFonts w:ascii="Arial" w:cs="Arial" w:eastAsia="Arial" w:hAnsi="Arial"/>
                <w:sz w:val="12"/>
                <w:szCs w:val="12"/>
                <w:b w:val="1"/>
                <w:bCs w:val="1"/>
                <w:color w:val="242424"/>
              </w:rPr>
              <w:t>2024/12/31</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c>
          <w:tcPr>
            <w:tcW w:w="0" w:type="dxa"/>
            <w:vAlign w:val="bottom"/>
          </w:tcPr>
          <w:p>
            <w:pPr>
              <w:spacing w:after="0"/>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804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242424"/>
              </w:rPr>
              <w:t>Cash and cash equivalents denominated in CH franc</w:t>
            </w:r>
          </w:p>
        </w:tc>
        <w:tc>
          <w:tcPr>
            <w:tcW w:w="2280" w:type="dxa"/>
            <w:vAlign w:val="bottom"/>
            <w:tcBorders>
              <w:bottom w:val="single" w:sz="8" w:color="FDF5E7"/>
            </w:tcBorders>
            <w:gridSpan w:val="2"/>
            <w:shd w:val="clear" w:color="auto" w:fill="FDF5E7"/>
          </w:tcPr>
          <w:p>
            <w:pPr>
              <w:jc w:val="right"/>
              <w:ind w:right="678"/>
              <w:spacing w:after="0"/>
              <w:rPr>
                <w:sz w:val="20"/>
                <w:szCs w:val="20"/>
                <w:color w:val="auto"/>
              </w:rPr>
            </w:pPr>
            <w:r>
              <w:rPr>
                <w:rFonts w:ascii="Arial" w:cs="Arial" w:eastAsia="Arial" w:hAnsi="Arial"/>
                <w:sz w:val="12"/>
                <w:szCs w:val="12"/>
                <w:color w:val="242424"/>
              </w:rPr>
              <w:t>614</w:t>
            </w:r>
          </w:p>
        </w:tc>
        <w:tc>
          <w:tcPr>
            <w:tcW w:w="86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242424"/>
              </w:rPr>
              <w:t>1,768</w:t>
            </w:r>
          </w:p>
        </w:tc>
        <w:tc>
          <w:tcPr>
            <w:tcW w:w="0" w:type="dxa"/>
            <w:vAlign w:val="bottom"/>
          </w:tcPr>
          <w:p>
            <w:pPr>
              <w:spacing w:after="0"/>
              <w:rPr>
                <w:sz w:val="1"/>
                <w:szCs w:val="1"/>
                <w:color w:val="auto"/>
              </w:rPr>
            </w:pPr>
          </w:p>
        </w:tc>
      </w:tr>
      <w:tr>
        <w:trPr>
          <w:trHeight w:val="173"/>
        </w:trPr>
        <w:tc>
          <w:tcPr>
            <w:tcW w:w="8040" w:type="dxa"/>
            <w:vAlign w:val="bottom"/>
          </w:tcPr>
          <w:p>
            <w:pPr>
              <w:ind w:left="20"/>
              <w:spacing w:after="0"/>
              <w:rPr>
                <w:sz w:val="20"/>
                <w:szCs w:val="20"/>
                <w:color w:val="auto"/>
              </w:rPr>
            </w:pPr>
            <w:r>
              <w:rPr>
                <w:rFonts w:ascii="Arial" w:cs="Arial" w:eastAsia="Arial" w:hAnsi="Arial"/>
                <w:sz w:val="12"/>
                <w:szCs w:val="12"/>
                <w:color w:val="242424"/>
              </w:rPr>
              <w:t>Equivalent in euros, on the basis of the exchange rate described below</w:t>
            </w:r>
          </w:p>
        </w:tc>
        <w:tc>
          <w:tcPr>
            <w:tcW w:w="2280" w:type="dxa"/>
            <w:vAlign w:val="bottom"/>
            <w:gridSpan w:val="2"/>
          </w:tcPr>
          <w:p>
            <w:pPr>
              <w:jc w:val="right"/>
              <w:ind w:right="678"/>
              <w:spacing w:after="0"/>
              <w:rPr>
                <w:sz w:val="20"/>
                <w:szCs w:val="20"/>
                <w:color w:val="auto"/>
              </w:rPr>
            </w:pPr>
            <w:r>
              <w:rPr>
                <w:rFonts w:ascii="Arial" w:cs="Arial" w:eastAsia="Arial" w:hAnsi="Arial"/>
                <w:sz w:val="12"/>
                <w:szCs w:val="12"/>
                <w:color w:val="242424"/>
              </w:rPr>
              <w:t>652</w:t>
            </w:r>
          </w:p>
        </w:tc>
        <w:tc>
          <w:tcPr>
            <w:tcW w:w="860" w:type="dxa"/>
            <w:vAlign w:val="bottom"/>
          </w:tcPr>
          <w:p>
            <w:pPr>
              <w:jc w:val="right"/>
              <w:spacing w:after="0"/>
              <w:rPr>
                <w:sz w:val="20"/>
                <w:szCs w:val="20"/>
                <w:color w:val="auto"/>
              </w:rPr>
            </w:pPr>
            <w:r>
              <w:rPr>
                <w:rFonts w:ascii="Arial" w:cs="Arial" w:eastAsia="Arial" w:hAnsi="Arial"/>
                <w:sz w:val="12"/>
                <w:szCs w:val="12"/>
                <w:color w:val="242424"/>
              </w:rPr>
              <w:t>1,891</w:t>
            </w:r>
          </w:p>
        </w:tc>
        <w:tc>
          <w:tcPr>
            <w:tcW w:w="0" w:type="dxa"/>
            <w:vAlign w:val="bottom"/>
          </w:tcPr>
          <w:p>
            <w:pPr>
              <w:spacing w:after="0"/>
              <w:rPr>
                <w:sz w:val="1"/>
                <w:szCs w:val="1"/>
                <w:color w:val="auto"/>
              </w:rPr>
            </w:pPr>
          </w:p>
        </w:tc>
      </w:tr>
      <w:tr>
        <w:trPr>
          <w:trHeight w:val="26"/>
        </w:trPr>
        <w:tc>
          <w:tcPr>
            <w:tcW w:w="8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4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242424"/>
              </w:rPr>
              <w:t>Equivalent in euros, in the event of an increase of 10% of CH franc vs euro</w:t>
            </w:r>
          </w:p>
        </w:tc>
        <w:tc>
          <w:tcPr>
            <w:tcW w:w="2280" w:type="dxa"/>
            <w:vAlign w:val="bottom"/>
            <w:tcBorders>
              <w:bottom w:val="single" w:sz="8" w:color="FDF5E7"/>
            </w:tcBorders>
            <w:gridSpan w:val="2"/>
            <w:shd w:val="clear" w:color="auto" w:fill="FDF5E7"/>
          </w:tcPr>
          <w:p>
            <w:pPr>
              <w:jc w:val="right"/>
              <w:ind w:right="678"/>
              <w:spacing w:after="0"/>
              <w:rPr>
                <w:sz w:val="20"/>
                <w:szCs w:val="20"/>
                <w:color w:val="auto"/>
              </w:rPr>
            </w:pPr>
            <w:r>
              <w:rPr>
                <w:rFonts w:ascii="Arial" w:cs="Arial" w:eastAsia="Arial" w:hAnsi="Arial"/>
                <w:sz w:val="12"/>
                <w:szCs w:val="12"/>
                <w:color w:val="242424"/>
              </w:rPr>
              <w:t>724</w:t>
            </w:r>
          </w:p>
        </w:tc>
        <w:tc>
          <w:tcPr>
            <w:tcW w:w="86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242424"/>
              </w:rPr>
              <w:t>2,101</w:t>
            </w:r>
          </w:p>
        </w:tc>
        <w:tc>
          <w:tcPr>
            <w:tcW w:w="0" w:type="dxa"/>
            <w:vAlign w:val="bottom"/>
          </w:tcPr>
          <w:p>
            <w:pPr>
              <w:spacing w:after="0"/>
              <w:rPr>
                <w:sz w:val="1"/>
                <w:szCs w:val="1"/>
                <w:color w:val="auto"/>
              </w:rPr>
            </w:pPr>
          </w:p>
        </w:tc>
      </w:tr>
      <w:tr>
        <w:trPr>
          <w:trHeight w:val="173"/>
        </w:trPr>
        <w:tc>
          <w:tcPr>
            <w:tcW w:w="8040" w:type="dxa"/>
            <w:vAlign w:val="bottom"/>
          </w:tcPr>
          <w:p>
            <w:pPr>
              <w:ind w:left="20"/>
              <w:spacing w:after="0"/>
              <w:rPr>
                <w:sz w:val="20"/>
                <w:szCs w:val="20"/>
                <w:color w:val="auto"/>
              </w:rPr>
            </w:pPr>
            <w:r>
              <w:rPr>
                <w:rFonts w:ascii="Arial" w:cs="Arial" w:eastAsia="Arial" w:hAnsi="Arial"/>
                <w:sz w:val="12"/>
                <w:szCs w:val="12"/>
                <w:color w:val="242424"/>
              </w:rPr>
              <w:t>Equivalent in euros, in the event of a decrease of 10% of CH franc vs euro</w:t>
            </w:r>
          </w:p>
        </w:tc>
        <w:tc>
          <w:tcPr>
            <w:tcW w:w="2280" w:type="dxa"/>
            <w:vAlign w:val="bottom"/>
            <w:gridSpan w:val="2"/>
          </w:tcPr>
          <w:p>
            <w:pPr>
              <w:jc w:val="right"/>
              <w:ind w:right="678"/>
              <w:spacing w:after="0"/>
              <w:rPr>
                <w:sz w:val="20"/>
                <w:szCs w:val="20"/>
                <w:color w:val="auto"/>
              </w:rPr>
            </w:pPr>
            <w:r>
              <w:rPr>
                <w:rFonts w:ascii="Arial" w:cs="Arial" w:eastAsia="Arial" w:hAnsi="Arial"/>
                <w:sz w:val="12"/>
                <w:szCs w:val="12"/>
                <w:color w:val="242424"/>
              </w:rPr>
              <w:t>593</w:t>
            </w:r>
          </w:p>
        </w:tc>
        <w:tc>
          <w:tcPr>
            <w:tcW w:w="860" w:type="dxa"/>
            <w:vAlign w:val="bottom"/>
          </w:tcPr>
          <w:p>
            <w:pPr>
              <w:jc w:val="right"/>
              <w:spacing w:after="0"/>
              <w:rPr>
                <w:sz w:val="20"/>
                <w:szCs w:val="20"/>
                <w:color w:val="auto"/>
              </w:rPr>
            </w:pPr>
            <w:r>
              <w:rPr>
                <w:rFonts w:ascii="Arial" w:cs="Arial" w:eastAsia="Arial" w:hAnsi="Arial"/>
                <w:sz w:val="12"/>
                <w:szCs w:val="12"/>
                <w:color w:val="242424"/>
              </w:rPr>
              <w:t>1,719</w:t>
            </w:r>
          </w:p>
        </w:tc>
        <w:tc>
          <w:tcPr>
            <w:tcW w:w="0" w:type="dxa"/>
            <w:vAlign w:val="bottom"/>
          </w:tcPr>
          <w:p>
            <w:pPr>
              <w:spacing w:after="0"/>
              <w:rPr>
                <w:sz w:val="1"/>
                <w:szCs w:val="1"/>
                <w:color w:val="auto"/>
              </w:rPr>
            </w:pPr>
          </w:p>
        </w:tc>
      </w:tr>
      <w:tr>
        <w:trPr>
          <w:trHeight w:val="26"/>
        </w:trPr>
        <w:tc>
          <w:tcPr>
            <w:tcW w:w="8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040" w:type="dxa"/>
            <w:vAlign w:val="bottom"/>
          </w:tcPr>
          <w:p>
            <w:pPr>
              <w:ind w:left="20"/>
              <w:spacing w:after="0"/>
              <w:rPr>
                <w:sz w:val="20"/>
                <w:szCs w:val="20"/>
                <w:color w:val="auto"/>
              </w:rPr>
            </w:pPr>
            <w:r>
              <w:rPr>
                <w:rFonts w:ascii="Arial" w:cs="Arial" w:eastAsia="Arial" w:hAnsi="Arial"/>
                <w:sz w:val="12"/>
                <w:szCs w:val="12"/>
                <w:b w:val="1"/>
                <w:bCs w:val="1"/>
                <w:color w:val="3C3C3B"/>
              </w:rPr>
              <w:t>Sensitivity analysis of the Group's expenses transacted in CH franc</w:t>
            </w:r>
          </w:p>
        </w:tc>
        <w:tc>
          <w:tcPr>
            <w:tcW w:w="40" w:type="dxa"/>
            <w:vAlign w:val="bottom"/>
          </w:tcPr>
          <w:p>
            <w:pPr>
              <w:spacing w:after="0"/>
              <w:rPr>
                <w:sz w:val="14"/>
                <w:szCs w:val="14"/>
                <w:color w:val="auto"/>
              </w:rPr>
            </w:pPr>
          </w:p>
        </w:tc>
        <w:tc>
          <w:tcPr>
            <w:tcW w:w="2240" w:type="dxa"/>
            <w:vAlign w:val="bottom"/>
          </w:tcPr>
          <w:p>
            <w:pPr>
              <w:jc w:val="right"/>
              <w:ind w:right="158"/>
              <w:spacing w:after="0"/>
              <w:rPr>
                <w:sz w:val="20"/>
                <w:szCs w:val="20"/>
                <w:color w:val="auto"/>
              </w:rPr>
            </w:pPr>
            <w:r>
              <w:rPr>
                <w:rFonts w:ascii="Arial" w:cs="Arial" w:eastAsia="Arial" w:hAnsi="Arial"/>
                <w:sz w:val="12"/>
                <w:szCs w:val="12"/>
                <w:b w:val="1"/>
                <w:bCs w:val="1"/>
                <w:color w:val="242424"/>
              </w:rPr>
              <w:t>Half-year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040" w:type="dxa"/>
            <w:vAlign w:val="bottom"/>
          </w:tcPr>
          <w:p>
            <w:pPr>
              <w:ind w:left="20"/>
              <w:spacing w:after="0"/>
              <w:rPr>
                <w:sz w:val="20"/>
                <w:szCs w:val="20"/>
                <w:color w:val="auto"/>
              </w:rPr>
            </w:pPr>
            <w:r>
              <w:rPr>
                <w:rFonts w:ascii="Arial" w:cs="Arial" w:eastAsia="Arial" w:hAnsi="Arial"/>
                <w:sz w:val="12"/>
                <w:szCs w:val="12"/>
                <w:b w:val="1"/>
                <w:bCs w:val="1"/>
                <w:color w:val="3C3C3B"/>
              </w:rPr>
              <w:t>Variation of +/- 10% of the CH franc vs the euro</w:t>
            </w:r>
          </w:p>
        </w:tc>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ind w:left="20"/>
              <w:spacing w:after="0"/>
              <w:rPr>
                <w:sz w:val="20"/>
                <w:szCs w:val="20"/>
                <w:color w:val="auto"/>
              </w:rPr>
            </w:pPr>
            <w:r>
              <w:rPr>
                <w:rFonts w:ascii="Arial" w:cs="Arial" w:eastAsia="Arial" w:hAnsi="Arial"/>
                <w:sz w:val="12"/>
                <w:szCs w:val="12"/>
                <w:b w:val="1"/>
                <w:bCs w:val="1"/>
                <w:color w:val="242424"/>
              </w:rPr>
              <w:t>(in € thousands or in CH franc thousands, as applicable)</w:t>
            </w:r>
          </w:p>
        </w:tc>
        <w:tc>
          <w:tcPr>
            <w:tcW w:w="4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8040" w:type="dxa"/>
            <w:vAlign w:val="bottom"/>
            <w:vMerge w:val="continue"/>
          </w:tcPr>
          <w:p>
            <w:pPr>
              <w:spacing w:after="0"/>
              <w:rPr>
                <w:sz w:val="14"/>
                <w:szCs w:val="14"/>
                <w:color w:val="auto"/>
              </w:rPr>
            </w:pPr>
          </w:p>
        </w:tc>
        <w:tc>
          <w:tcPr>
            <w:tcW w:w="2280" w:type="dxa"/>
            <w:vAlign w:val="bottom"/>
            <w:gridSpan w:val="2"/>
          </w:tcPr>
          <w:p>
            <w:pPr>
              <w:jc w:val="right"/>
              <w:ind w:right="678"/>
              <w:spacing w:after="0"/>
              <w:rPr>
                <w:sz w:val="20"/>
                <w:szCs w:val="20"/>
                <w:color w:val="auto"/>
              </w:rPr>
            </w:pPr>
            <w:r>
              <w:rPr>
                <w:rFonts w:ascii="Arial" w:cs="Arial" w:eastAsia="Arial" w:hAnsi="Arial"/>
                <w:sz w:val="12"/>
                <w:szCs w:val="12"/>
                <w:b w:val="1"/>
                <w:bCs w:val="1"/>
                <w:color w:val="242424"/>
              </w:rPr>
              <w:t>2024/06/30</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c>
          <w:tcPr>
            <w:tcW w:w="0" w:type="dxa"/>
            <w:vAlign w:val="bottom"/>
          </w:tcPr>
          <w:p>
            <w:pPr>
              <w:spacing w:after="0"/>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804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242424"/>
              </w:rPr>
              <w:t>Expenses denominated in CH franc</w:t>
            </w:r>
          </w:p>
        </w:tc>
        <w:tc>
          <w:tcPr>
            <w:tcW w:w="2280" w:type="dxa"/>
            <w:vAlign w:val="bottom"/>
            <w:tcBorders>
              <w:bottom w:val="single" w:sz="8" w:color="FDF5E7"/>
            </w:tcBorders>
            <w:gridSpan w:val="2"/>
            <w:shd w:val="clear" w:color="auto" w:fill="FDF5E7"/>
          </w:tcPr>
          <w:p>
            <w:pPr>
              <w:jc w:val="right"/>
              <w:ind w:right="678"/>
              <w:spacing w:after="0"/>
              <w:rPr>
                <w:sz w:val="20"/>
                <w:szCs w:val="20"/>
                <w:color w:val="auto"/>
              </w:rPr>
            </w:pPr>
            <w:r>
              <w:rPr>
                <w:rFonts w:ascii="Arial" w:cs="Arial" w:eastAsia="Arial" w:hAnsi="Arial"/>
                <w:sz w:val="12"/>
                <w:szCs w:val="12"/>
                <w:color w:val="242424"/>
              </w:rPr>
              <w:t>1,064</w:t>
            </w:r>
          </w:p>
        </w:tc>
        <w:tc>
          <w:tcPr>
            <w:tcW w:w="86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242424"/>
              </w:rPr>
              <w:t>1,613</w:t>
            </w:r>
          </w:p>
        </w:tc>
        <w:tc>
          <w:tcPr>
            <w:tcW w:w="0" w:type="dxa"/>
            <w:vAlign w:val="bottom"/>
          </w:tcPr>
          <w:p>
            <w:pPr>
              <w:spacing w:after="0"/>
              <w:rPr>
                <w:sz w:val="1"/>
                <w:szCs w:val="1"/>
                <w:color w:val="auto"/>
              </w:rPr>
            </w:pPr>
          </w:p>
        </w:tc>
      </w:tr>
      <w:tr>
        <w:trPr>
          <w:trHeight w:val="173"/>
        </w:trPr>
        <w:tc>
          <w:tcPr>
            <w:tcW w:w="8040" w:type="dxa"/>
            <w:vAlign w:val="bottom"/>
          </w:tcPr>
          <w:p>
            <w:pPr>
              <w:ind w:left="20"/>
              <w:spacing w:after="0"/>
              <w:rPr>
                <w:sz w:val="20"/>
                <w:szCs w:val="20"/>
                <w:color w:val="auto"/>
              </w:rPr>
            </w:pPr>
            <w:r>
              <w:rPr>
                <w:rFonts w:ascii="Arial" w:cs="Arial" w:eastAsia="Arial" w:hAnsi="Arial"/>
                <w:sz w:val="12"/>
                <w:szCs w:val="12"/>
                <w:color w:val="242424"/>
              </w:rPr>
              <w:t>Equivalent in euros, on the basis of the exchange rate described below</w:t>
            </w:r>
          </w:p>
        </w:tc>
        <w:tc>
          <w:tcPr>
            <w:tcW w:w="2280" w:type="dxa"/>
            <w:vAlign w:val="bottom"/>
            <w:gridSpan w:val="2"/>
          </w:tcPr>
          <w:p>
            <w:pPr>
              <w:jc w:val="right"/>
              <w:ind w:right="678"/>
              <w:spacing w:after="0"/>
              <w:rPr>
                <w:sz w:val="20"/>
                <w:szCs w:val="20"/>
                <w:color w:val="auto"/>
              </w:rPr>
            </w:pPr>
            <w:r>
              <w:rPr>
                <w:rFonts w:ascii="Arial" w:cs="Arial" w:eastAsia="Arial" w:hAnsi="Arial"/>
                <w:sz w:val="12"/>
                <w:szCs w:val="12"/>
                <w:color w:val="242424"/>
              </w:rPr>
              <w:t>1,104</w:t>
            </w:r>
          </w:p>
        </w:tc>
        <w:tc>
          <w:tcPr>
            <w:tcW w:w="860" w:type="dxa"/>
            <w:vAlign w:val="bottom"/>
          </w:tcPr>
          <w:p>
            <w:pPr>
              <w:jc w:val="right"/>
              <w:spacing w:after="0"/>
              <w:rPr>
                <w:sz w:val="20"/>
                <w:szCs w:val="20"/>
                <w:color w:val="auto"/>
              </w:rPr>
            </w:pPr>
            <w:r>
              <w:rPr>
                <w:rFonts w:ascii="Arial" w:cs="Arial" w:eastAsia="Arial" w:hAnsi="Arial"/>
                <w:sz w:val="12"/>
                <w:szCs w:val="12"/>
                <w:color w:val="242424"/>
              </w:rPr>
              <w:t>1,725</w:t>
            </w:r>
          </w:p>
        </w:tc>
        <w:tc>
          <w:tcPr>
            <w:tcW w:w="0" w:type="dxa"/>
            <w:vAlign w:val="bottom"/>
          </w:tcPr>
          <w:p>
            <w:pPr>
              <w:spacing w:after="0"/>
              <w:rPr>
                <w:sz w:val="1"/>
                <w:szCs w:val="1"/>
                <w:color w:val="auto"/>
              </w:rPr>
            </w:pPr>
          </w:p>
        </w:tc>
      </w:tr>
      <w:tr>
        <w:trPr>
          <w:trHeight w:val="26"/>
        </w:trPr>
        <w:tc>
          <w:tcPr>
            <w:tcW w:w="8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4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242424"/>
              </w:rPr>
              <w:t>Equivalent in euros, in the event of an increase of 10% of CH franc vs euro</w:t>
            </w:r>
          </w:p>
        </w:tc>
        <w:tc>
          <w:tcPr>
            <w:tcW w:w="2280" w:type="dxa"/>
            <w:vAlign w:val="bottom"/>
            <w:tcBorders>
              <w:bottom w:val="single" w:sz="8" w:color="FDF5E7"/>
            </w:tcBorders>
            <w:gridSpan w:val="2"/>
            <w:shd w:val="clear" w:color="auto" w:fill="FDF5E7"/>
          </w:tcPr>
          <w:p>
            <w:pPr>
              <w:jc w:val="right"/>
              <w:ind w:right="678"/>
              <w:spacing w:after="0"/>
              <w:rPr>
                <w:sz w:val="20"/>
                <w:szCs w:val="20"/>
                <w:color w:val="auto"/>
              </w:rPr>
            </w:pPr>
            <w:r>
              <w:rPr>
                <w:rFonts w:ascii="Arial" w:cs="Arial" w:eastAsia="Arial" w:hAnsi="Arial"/>
                <w:sz w:val="12"/>
                <w:szCs w:val="12"/>
                <w:color w:val="242424"/>
              </w:rPr>
              <w:t>1,227</w:t>
            </w:r>
          </w:p>
        </w:tc>
        <w:tc>
          <w:tcPr>
            <w:tcW w:w="86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242424"/>
              </w:rPr>
              <w:t>1,917</w:t>
            </w:r>
          </w:p>
        </w:tc>
        <w:tc>
          <w:tcPr>
            <w:tcW w:w="0" w:type="dxa"/>
            <w:vAlign w:val="bottom"/>
          </w:tcPr>
          <w:p>
            <w:pPr>
              <w:spacing w:after="0"/>
              <w:rPr>
                <w:sz w:val="1"/>
                <w:szCs w:val="1"/>
                <w:color w:val="auto"/>
              </w:rPr>
            </w:pPr>
          </w:p>
        </w:tc>
      </w:tr>
      <w:tr>
        <w:trPr>
          <w:trHeight w:val="173"/>
        </w:trPr>
        <w:tc>
          <w:tcPr>
            <w:tcW w:w="8040" w:type="dxa"/>
            <w:vAlign w:val="bottom"/>
          </w:tcPr>
          <w:p>
            <w:pPr>
              <w:ind w:left="20"/>
              <w:spacing w:after="0"/>
              <w:rPr>
                <w:sz w:val="20"/>
                <w:szCs w:val="20"/>
                <w:color w:val="auto"/>
              </w:rPr>
            </w:pPr>
            <w:r>
              <w:rPr>
                <w:rFonts w:ascii="Arial" w:cs="Arial" w:eastAsia="Arial" w:hAnsi="Arial"/>
                <w:sz w:val="12"/>
                <w:szCs w:val="12"/>
                <w:color w:val="242424"/>
              </w:rPr>
              <w:t>Equivalent in euros, in the event of a decrease of 10% of CH franc vs euro</w:t>
            </w:r>
          </w:p>
        </w:tc>
        <w:tc>
          <w:tcPr>
            <w:tcW w:w="2280" w:type="dxa"/>
            <w:vAlign w:val="bottom"/>
            <w:gridSpan w:val="2"/>
          </w:tcPr>
          <w:p>
            <w:pPr>
              <w:jc w:val="right"/>
              <w:ind w:right="678"/>
              <w:spacing w:after="0"/>
              <w:rPr>
                <w:sz w:val="20"/>
                <w:szCs w:val="20"/>
                <w:color w:val="auto"/>
              </w:rPr>
            </w:pPr>
            <w:r>
              <w:rPr>
                <w:rFonts w:ascii="Arial" w:cs="Arial" w:eastAsia="Arial" w:hAnsi="Arial"/>
                <w:sz w:val="12"/>
                <w:szCs w:val="12"/>
                <w:color w:val="242424"/>
              </w:rPr>
              <w:t>1,004</w:t>
            </w:r>
          </w:p>
        </w:tc>
        <w:tc>
          <w:tcPr>
            <w:tcW w:w="860" w:type="dxa"/>
            <w:vAlign w:val="bottom"/>
          </w:tcPr>
          <w:p>
            <w:pPr>
              <w:jc w:val="right"/>
              <w:spacing w:after="0"/>
              <w:rPr>
                <w:sz w:val="20"/>
                <w:szCs w:val="20"/>
                <w:color w:val="auto"/>
              </w:rPr>
            </w:pPr>
            <w:r>
              <w:rPr>
                <w:rFonts w:ascii="Arial" w:cs="Arial" w:eastAsia="Arial" w:hAnsi="Arial"/>
                <w:sz w:val="12"/>
                <w:szCs w:val="12"/>
                <w:color w:val="242424"/>
              </w:rPr>
              <w:t>1,568</w:t>
            </w:r>
          </w:p>
        </w:tc>
        <w:tc>
          <w:tcPr>
            <w:tcW w:w="0" w:type="dxa"/>
            <w:vAlign w:val="bottom"/>
          </w:tcPr>
          <w:p>
            <w:pPr>
              <w:spacing w:after="0"/>
              <w:rPr>
                <w:sz w:val="1"/>
                <w:szCs w:val="1"/>
                <w:color w:val="auto"/>
              </w:rPr>
            </w:pPr>
          </w:p>
        </w:tc>
      </w:tr>
      <w:tr>
        <w:trPr>
          <w:trHeight w:val="26"/>
        </w:trPr>
        <w:tc>
          <w:tcPr>
            <w:tcW w:w="8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8040" w:type="dxa"/>
            <w:vAlign w:val="bottom"/>
          </w:tcPr>
          <w:p>
            <w:pPr>
              <w:ind w:left="20"/>
              <w:spacing w:after="0"/>
              <w:rPr>
                <w:sz w:val="20"/>
                <w:szCs w:val="20"/>
                <w:color w:val="auto"/>
              </w:rPr>
            </w:pPr>
            <w:r>
              <w:rPr>
                <w:rFonts w:ascii="Arial" w:cs="Arial" w:eastAsia="Arial" w:hAnsi="Arial"/>
                <w:sz w:val="12"/>
                <w:szCs w:val="12"/>
                <w:color w:val="3C3C3B"/>
              </w:rPr>
              <w:t>2025/06/30 : Equivalent in euros, on the basis of 1 CH franc = 1,06986 euros</w:t>
            </w:r>
          </w:p>
        </w:tc>
        <w:tc>
          <w:tcPr>
            <w:tcW w:w="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040" w:type="dxa"/>
            <w:vAlign w:val="bottom"/>
          </w:tcPr>
          <w:p>
            <w:pPr>
              <w:ind w:left="20"/>
              <w:spacing w:after="0"/>
              <w:rPr>
                <w:sz w:val="20"/>
                <w:szCs w:val="20"/>
                <w:color w:val="auto"/>
              </w:rPr>
            </w:pPr>
            <w:r>
              <w:rPr>
                <w:rFonts w:ascii="Arial" w:cs="Arial" w:eastAsia="Arial" w:hAnsi="Arial"/>
                <w:sz w:val="12"/>
                <w:szCs w:val="12"/>
                <w:color w:val="242424"/>
              </w:rPr>
              <w:t>2024/06/30 : Equivalent in euros, on the basis of 1 CH franc = 1,03799 euros</w:t>
            </w:r>
          </w:p>
        </w:tc>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5"/>
          <w:szCs w:val="15"/>
          <w:b w:val="1"/>
          <w:bCs w:val="1"/>
          <w:color w:val="auto"/>
        </w:rPr>
        <w:t>Interest rate risk</w:t>
      </w:r>
    </w:p>
    <w:p>
      <w:pPr>
        <w:spacing w:after="0" w:line="26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3C3C3B"/>
        </w:rPr>
        <w:t>As of June 30, 2025, the Group had bank loans only at fixed interest rates. The Group's exposure to interest rate risk through its financial assets is also insignificant since these assets are mainly euro-denominated Undertakings for the Collective Investment of Transferable Securities (UCITs), medium-term negotiable notes, or term deposits with progressive rates denominated in euros or US dollars.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Royalty Financing Bonds issued by GENFIT do not bear interest.</w:t>
      </w:r>
    </w:p>
    <w:p>
      <w:pPr>
        <w:spacing w:after="0" w:line="281"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b w:val="1"/>
          <w:bCs w:val="1"/>
          <w:color w:val="auto"/>
        </w:rPr>
        <w:t>6.3.</w:t>
        <w:tab/>
        <w:t>Liquidity risk</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As of December 31, 2024 and June 30, 2025, the Group's financial liabilities totaled €62.1 million and €138.9 million.</w:t>
      </w:r>
    </w:p>
    <w:p>
      <w:pPr>
        <w:spacing w:after="0" w:line="185"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The Group's financial liabilities at June 30, 2025 mainly consist of a Royalty Financing agreement. The reimbursement of these bonds will be tied to a portion of the royalties GENFIT receives under the Ipsen agreement from October 1, 2024. There are two specific liquidity risks related to the Royalty Financing agreement:</w:t>
      </w:r>
    </w:p>
    <w:p>
      <w:pPr>
        <w:spacing w:after="0" w:line="16" w:lineRule="exact"/>
        <w:rPr>
          <w:sz w:val="20"/>
          <w:szCs w:val="20"/>
          <w:color w:val="auto"/>
        </w:rPr>
      </w:pPr>
    </w:p>
    <w:p>
      <w:pPr>
        <w:ind w:left="520" w:hanging="260"/>
        <w:spacing w:after="0" w:line="293" w:lineRule="auto"/>
        <w:tabs>
          <w:tab w:leader="none" w:pos="537" w:val="left"/>
        </w:tabs>
        <w:numPr>
          <w:ilvl w:val="0"/>
          <w:numId w:val="40"/>
        </w:numPr>
        <w:rPr>
          <w:rFonts w:ascii="Arial" w:cs="Arial" w:eastAsia="Arial" w:hAnsi="Arial"/>
          <w:sz w:val="15"/>
          <w:szCs w:val="15"/>
          <w:color w:val="3C3C3B"/>
        </w:rPr>
      </w:pPr>
      <w:r>
        <w:rPr>
          <w:rFonts w:ascii="Arial" w:cs="Arial" w:eastAsia="Arial" w:hAnsi="Arial"/>
          <w:sz w:val="15"/>
          <w:szCs w:val="15"/>
          <w:color w:val="3C3C3B"/>
        </w:rPr>
        <w:t>If GENFIT's royalty revenue based on sales of Iqirvo® (elafibranor) were not to achieve certain thresholds, this would hinder GENFIT's ability to draw down the remaining €55 million in two additional installments of €30 million and €20 million, respectively.</w:t>
      </w:r>
    </w:p>
    <w:p>
      <w:pPr>
        <w:spacing w:after="0" w:line="16" w:lineRule="exact"/>
        <w:rPr>
          <w:rFonts w:ascii="Arial" w:cs="Arial" w:eastAsia="Arial" w:hAnsi="Arial"/>
          <w:sz w:val="15"/>
          <w:szCs w:val="15"/>
          <w:color w:val="3C3C3B"/>
        </w:rPr>
      </w:pPr>
    </w:p>
    <w:p>
      <w:pPr>
        <w:jc w:val="both"/>
        <w:ind w:left="520" w:hanging="260"/>
        <w:spacing w:after="0" w:line="266" w:lineRule="auto"/>
        <w:tabs>
          <w:tab w:leader="none" w:pos="523" w:val="left"/>
        </w:tabs>
        <w:numPr>
          <w:ilvl w:val="0"/>
          <w:numId w:val="40"/>
        </w:numPr>
        <w:rPr>
          <w:rFonts w:ascii="Arial" w:cs="Arial" w:eastAsia="Arial" w:hAnsi="Arial"/>
          <w:sz w:val="15"/>
          <w:szCs w:val="15"/>
          <w:color w:val="3C3C3B"/>
        </w:rPr>
      </w:pPr>
      <w:r>
        <w:rPr>
          <w:rFonts w:ascii="Arial" w:cs="Arial" w:eastAsia="Arial" w:hAnsi="Arial"/>
          <w:sz w:val="15"/>
          <w:szCs w:val="15"/>
          <w:color w:val="3C3C3B"/>
        </w:rPr>
        <w:t>If GENFIT's royalty revenue based on sales of Iqirvo® (elafibranor) were to be insufficient to fully repay the Royalty Financing agreement based on the contractual multiple of 155% by December 31, 2030, this would trigger an increase in the contractual multiple (i.e., 195% or 250%) based on new reimbursement deadlines.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 xml:space="preserve">See </w:t>
      </w:r>
      <w:r>
        <w:rPr>
          <w:rFonts w:ascii="Arial" w:cs="Arial" w:eastAsia="Arial" w:hAnsi="Arial"/>
          <w:sz w:val="15"/>
          <w:szCs w:val="15"/>
          <w:u w:val="single" w:color="auto"/>
          <w:color w:val="0000FF"/>
        </w:rPr>
        <w:t>Note 17 - Loans and borrowings</w:t>
      </w:r>
      <w:r>
        <w:rPr>
          <w:rFonts w:ascii="Arial" w:cs="Arial" w:eastAsia="Arial" w:hAnsi="Arial"/>
          <w:sz w:val="15"/>
          <w:szCs w:val="15"/>
          <w:color w:val="000000"/>
        </w:rPr>
        <w:t>.</w:t>
      </w:r>
    </w:p>
    <w:p>
      <w:pPr>
        <w:spacing w:after="0" w:line="335"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9"/>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25</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31" w:name="page32"/>
    <w:bookmarkEnd w:id="31"/>
    <w:p>
      <w:pPr>
        <w:jc w:val="both"/>
        <w:ind w:firstLine="318"/>
        <w:spacing w:after="0" w:line="263" w:lineRule="auto"/>
        <w:rPr>
          <w:sz w:val="20"/>
          <w:szCs w:val="20"/>
          <w:color w:val="auto"/>
        </w:rPr>
      </w:pPr>
      <w:r>
        <w:rPr>
          <w:rFonts w:ascii="Arial" w:cs="Arial" w:eastAsia="Arial" w:hAnsi="Arial"/>
          <w:sz w:val="15"/>
          <w:szCs w:val="15"/>
          <w:color w:val="3C3C3B"/>
        </w:rPr>
        <w:t>The Company has conducted a specific review of its liquidity risk and considers that it is able to meet its future maturities. On December 31, 2024 and June 30, 2025, the Group had € 81,788 and €107,511 respectively in cash and cash equivalents. The Company does not believe it is exposed to short-term liquidity risk. The Company believes that the Group's cash and cash equivalents and current financial instruments are sufficient to ensure its financing for the next 12 months, in light of its current projects and obligations.</w:t>
      </w:r>
    </w:p>
    <w:p>
      <w:pPr>
        <w:spacing w:after="0" w:line="14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5"/>
          <w:szCs w:val="15"/>
          <w:color w:val="3C3C3B"/>
        </w:rPr>
        <w:t>If the Group's funds were insufficient to cover any additional financing needs, the Group would require additional financing. The conditions and arrangements for any such new financing would depend, among other factors, on economic and market conditions that are beyond the Group's control.</w:t>
      </w:r>
    </w:p>
    <w:p>
      <w:pPr>
        <w:spacing w:after="0" w:line="232"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b w:val="1"/>
          <w:bCs w:val="1"/>
          <w:color w:val="auto"/>
        </w:rPr>
        <w:t>6.4</w:t>
        <w:tab/>
        <w:t>Credit risk</w:t>
      </w:r>
    </w:p>
    <w:p>
      <w:pPr>
        <w:spacing w:after="0" w:line="263"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Credit risk is the risk of financial loss if a customer or counterparty to a financial asset defaults on their contractual commitments. The Group is exposed to credit risk due to trade receivables and other financial assets.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Group's policy is to manage this risk by transacting with third parties with good credit standards.</w:t>
      </w:r>
    </w:p>
    <w:p>
      <w:pPr>
        <w:spacing w:after="0" w:line="281" w:lineRule="exact"/>
        <w:rPr>
          <w:sz w:val="20"/>
          <w:szCs w:val="20"/>
          <w:color w:val="auto"/>
        </w:rPr>
      </w:pPr>
    </w:p>
    <w:p>
      <w:pPr>
        <w:ind w:left="480" w:hanging="474"/>
        <w:spacing w:after="0"/>
        <w:tabs>
          <w:tab w:leader="none" w:pos="480" w:val="left"/>
        </w:tabs>
        <w:numPr>
          <w:ilvl w:val="0"/>
          <w:numId w:val="41"/>
        </w:numPr>
        <w:rPr>
          <w:rFonts w:ascii="Arial" w:cs="Arial" w:eastAsia="Arial" w:hAnsi="Arial"/>
          <w:sz w:val="16"/>
          <w:szCs w:val="16"/>
          <w:b w:val="1"/>
          <w:bCs w:val="1"/>
          <w:color w:val="E99D25"/>
        </w:rPr>
      </w:pPr>
      <w:r>
        <w:rPr>
          <w:rFonts w:ascii="Arial" w:cs="Arial" w:eastAsia="Arial" w:hAnsi="Arial"/>
          <w:sz w:val="16"/>
          <w:szCs w:val="16"/>
          <w:b w:val="1"/>
          <w:bCs w:val="1"/>
          <w:color w:val="E99D25"/>
        </w:rPr>
        <w:t>REVENUES AND OTHER INCOME</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Financial statement line item detail</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ind w:left="20"/>
              <w:spacing w:after="0"/>
              <w:rPr>
                <w:sz w:val="20"/>
                <w:szCs w:val="20"/>
                <w:color w:val="auto"/>
              </w:rPr>
            </w:pPr>
            <w:r>
              <w:rPr>
                <w:rFonts w:ascii="Arial" w:cs="Arial" w:eastAsia="Arial" w:hAnsi="Arial"/>
                <w:sz w:val="12"/>
                <w:szCs w:val="12"/>
                <w:b w:val="1"/>
                <w:bCs w:val="1"/>
                <w:color w:val="auto"/>
              </w:rPr>
              <w:t>Revenues and other income</w:t>
            </w:r>
          </w:p>
        </w:tc>
        <w:tc>
          <w:tcPr>
            <w:tcW w:w="3920" w:type="dxa"/>
            <w:vAlign w:val="bottom"/>
          </w:tcPr>
          <w:p>
            <w:pPr>
              <w:jc w:val="right"/>
              <w:ind w:right="738"/>
              <w:spacing w:after="0"/>
              <w:rPr>
                <w:sz w:val="20"/>
                <w:szCs w:val="20"/>
                <w:color w:val="auto"/>
              </w:rPr>
            </w:pPr>
            <w:r>
              <w:rPr>
                <w:rFonts w:ascii="Arial" w:cs="Arial" w:eastAsia="Arial" w:hAnsi="Arial"/>
                <w:sz w:val="12"/>
                <w:szCs w:val="12"/>
                <w:b w:val="1"/>
                <w:bCs w:val="1"/>
                <w:color w:val="auto"/>
              </w:rPr>
              <w:t>Half-year ended</w:t>
            </w:r>
          </w:p>
        </w:tc>
        <w:tc>
          <w:tcPr>
            <w:tcW w:w="1400" w:type="dxa"/>
            <w:vAlign w:val="bottom"/>
          </w:tcPr>
          <w:p>
            <w:pPr>
              <w:spacing w:after="0"/>
              <w:rPr>
                <w:sz w:val="14"/>
                <w:szCs w:val="14"/>
                <w:color w:val="auto"/>
              </w:rPr>
            </w:pPr>
          </w:p>
        </w:tc>
      </w:tr>
      <w:tr>
        <w:trPr>
          <w:trHeight w:val="20"/>
        </w:trPr>
        <w:tc>
          <w:tcPr>
            <w:tcW w:w="5900" w:type="dxa"/>
            <w:vAlign w:val="bottom"/>
          </w:tcPr>
          <w:p>
            <w:pPr>
              <w:spacing w:after="0" w:line="20" w:lineRule="exact"/>
              <w:rPr>
                <w:sz w:val="1"/>
                <w:szCs w:val="1"/>
                <w:color w:val="auto"/>
              </w:rPr>
            </w:pPr>
          </w:p>
        </w:tc>
        <w:tc>
          <w:tcPr>
            <w:tcW w:w="3920" w:type="dxa"/>
            <w:vAlign w:val="bottom"/>
            <w:tcBorders>
              <w:bottom w:val="single" w:sz="8" w:color="242424"/>
            </w:tcBorders>
          </w:tcPr>
          <w:p>
            <w:pPr>
              <w:spacing w:after="0" w:line="20" w:lineRule="exact"/>
              <w:rPr>
                <w:sz w:val="1"/>
                <w:szCs w:val="1"/>
                <w:color w:val="auto"/>
              </w:rPr>
            </w:pPr>
          </w:p>
        </w:tc>
        <w:tc>
          <w:tcPr>
            <w:tcW w:w="1400" w:type="dxa"/>
            <w:vAlign w:val="bottom"/>
            <w:tcBorders>
              <w:bottom w:val="single" w:sz="8" w:color="242424"/>
            </w:tcBorders>
          </w:tcPr>
          <w:p>
            <w:pPr>
              <w:spacing w:after="0" w:line="20" w:lineRule="exact"/>
              <w:rPr>
                <w:sz w:val="1"/>
                <w:szCs w:val="1"/>
                <w:color w:val="auto"/>
              </w:rPr>
            </w:pPr>
          </w:p>
        </w:tc>
      </w:tr>
      <w:tr>
        <w:trPr>
          <w:trHeight w:val="172"/>
        </w:trPr>
        <w:tc>
          <w:tcPr>
            <w:tcW w:w="5900" w:type="dxa"/>
            <w:vAlign w:val="bottom"/>
          </w:tcPr>
          <w:p>
            <w:pPr>
              <w:ind w:left="20"/>
              <w:spacing w:after="0"/>
              <w:rPr>
                <w:sz w:val="20"/>
                <w:szCs w:val="20"/>
                <w:color w:val="auto"/>
              </w:rPr>
            </w:pPr>
            <w:r>
              <w:rPr>
                <w:rFonts w:ascii="Arial" w:cs="Arial" w:eastAsia="Arial" w:hAnsi="Arial"/>
                <w:sz w:val="12"/>
                <w:szCs w:val="12"/>
                <w:i w:val="1"/>
                <w:iCs w:val="1"/>
                <w:color w:val="auto"/>
              </w:rPr>
              <w:t>(in € thousands)</w:t>
            </w:r>
          </w:p>
        </w:tc>
        <w:tc>
          <w:tcPr>
            <w:tcW w:w="3920" w:type="dxa"/>
            <w:vAlign w:val="bottom"/>
          </w:tcPr>
          <w:p>
            <w:pPr>
              <w:jc w:val="right"/>
              <w:ind w:right="1218"/>
              <w:spacing w:after="0"/>
              <w:rPr>
                <w:sz w:val="20"/>
                <w:szCs w:val="20"/>
                <w:color w:val="auto"/>
              </w:rPr>
            </w:pPr>
            <w:r>
              <w:rPr>
                <w:rFonts w:ascii="Arial" w:cs="Arial" w:eastAsia="Arial" w:hAnsi="Arial"/>
                <w:sz w:val="12"/>
                <w:szCs w:val="12"/>
                <w:b w:val="1"/>
                <w:bCs w:val="1"/>
                <w:color w:val="auto"/>
              </w:rPr>
              <w:t>2024/06/30</w:t>
            </w:r>
          </w:p>
        </w:tc>
        <w:tc>
          <w:tcPr>
            <w:tcW w:w="140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5900" w:type="dxa"/>
            <w:vAlign w:val="bottom"/>
            <w:tcBorders>
              <w:bottom w:val="single" w:sz="8" w:color="242424"/>
            </w:tcBorders>
          </w:tcPr>
          <w:p>
            <w:pPr>
              <w:spacing w:after="0" w:line="20" w:lineRule="exact"/>
              <w:rPr>
                <w:sz w:val="1"/>
                <w:szCs w:val="1"/>
                <w:color w:val="auto"/>
              </w:rPr>
            </w:pPr>
          </w:p>
        </w:tc>
        <w:tc>
          <w:tcPr>
            <w:tcW w:w="3920" w:type="dxa"/>
            <w:vAlign w:val="bottom"/>
            <w:tcBorders>
              <w:bottom w:val="single" w:sz="8" w:color="242424"/>
            </w:tcBorders>
          </w:tcPr>
          <w:p>
            <w:pPr>
              <w:spacing w:after="0" w:line="20" w:lineRule="exact"/>
              <w:rPr>
                <w:sz w:val="1"/>
                <w:szCs w:val="1"/>
                <w:color w:val="auto"/>
              </w:rPr>
            </w:pPr>
          </w:p>
        </w:tc>
        <w:tc>
          <w:tcPr>
            <w:tcW w:w="1400" w:type="dxa"/>
            <w:vAlign w:val="bottom"/>
            <w:tcBorders>
              <w:bottom w:val="single" w:sz="8" w:color="242424"/>
            </w:tcBorders>
          </w:tcPr>
          <w:p>
            <w:pPr>
              <w:spacing w:after="0" w:line="20" w:lineRule="exact"/>
              <w:rPr>
                <w:sz w:val="1"/>
                <w:szCs w:val="1"/>
                <w:color w:val="auto"/>
              </w:rPr>
            </w:pPr>
          </w:p>
        </w:tc>
      </w:tr>
      <w:tr>
        <w:trPr>
          <w:trHeight w:val="172"/>
        </w:trPr>
        <w:tc>
          <w:tcPr>
            <w:tcW w:w="590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auto"/>
              </w:rPr>
              <w:t>Revenues</w:t>
            </w:r>
          </w:p>
        </w:tc>
        <w:tc>
          <w:tcPr>
            <w:tcW w:w="3920" w:type="dxa"/>
            <w:vAlign w:val="bottom"/>
            <w:tcBorders>
              <w:bottom w:val="single" w:sz="8" w:color="FDF5E7"/>
            </w:tcBorders>
            <w:shd w:val="clear" w:color="auto" w:fill="FDF5E7"/>
          </w:tcPr>
          <w:p>
            <w:pPr>
              <w:jc w:val="right"/>
              <w:ind w:right="1218"/>
              <w:spacing w:after="0"/>
              <w:rPr>
                <w:sz w:val="20"/>
                <w:szCs w:val="20"/>
                <w:color w:val="auto"/>
              </w:rPr>
            </w:pPr>
            <w:r>
              <w:rPr>
                <w:rFonts w:ascii="Arial" w:cs="Arial" w:eastAsia="Arial" w:hAnsi="Arial"/>
                <w:sz w:val="12"/>
                <w:szCs w:val="12"/>
                <w:color w:val="auto"/>
              </w:rPr>
              <w:t>58,973</w:t>
            </w:r>
          </w:p>
        </w:tc>
        <w:tc>
          <w:tcPr>
            <w:tcW w:w="140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33,488</w:t>
            </w:r>
          </w:p>
        </w:tc>
      </w:tr>
      <w:tr>
        <w:trPr>
          <w:trHeight w:val="173"/>
        </w:trPr>
        <w:tc>
          <w:tcPr>
            <w:tcW w:w="5900" w:type="dxa"/>
            <w:vAlign w:val="bottom"/>
          </w:tcPr>
          <w:p>
            <w:pPr>
              <w:ind w:left="20"/>
              <w:spacing w:after="0"/>
              <w:rPr>
                <w:sz w:val="20"/>
                <w:szCs w:val="20"/>
                <w:color w:val="auto"/>
              </w:rPr>
            </w:pPr>
            <w:r>
              <w:rPr>
                <w:rFonts w:ascii="Arial" w:cs="Arial" w:eastAsia="Arial" w:hAnsi="Arial"/>
                <w:sz w:val="12"/>
                <w:szCs w:val="12"/>
                <w:color w:val="auto"/>
              </w:rPr>
              <w:t>CIR tax credit</w:t>
            </w:r>
          </w:p>
        </w:tc>
        <w:tc>
          <w:tcPr>
            <w:tcW w:w="3920" w:type="dxa"/>
            <w:vAlign w:val="bottom"/>
          </w:tcPr>
          <w:p>
            <w:pPr>
              <w:jc w:val="right"/>
              <w:ind w:right="1218"/>
              <w:spacing w:after="0"/>
              <w:rPr>
                <w:sz w:val="20"/>
                <w:szCs w:val="20"/>
                <w:color w:val="auto"/>
              </w:rPr>
            </w:pPr>
            <w:r>
              <w:rPr>
                <w:rFonts w:ascii="Arial" w:cs="Arial" w:eastAsia="Arial" w:hAnsi="Arial"/>
                <w:sz w:val="12"/>
                <w:szCs w:val="12"/>
                <w:color w:val="auto"/>
              </w:rPr>
              <w:t>2,108</w:t>
            </w:r>
          </w:p>
        </w:tc>
        <w:tc>
          <w:tcPr>
            <w:tcW w:w="1400" w:type="dxa"/>
            <w:vAlign w:val="bottom"/>
          </w:tcPr>
          <w:p>
            <w:pPr>
              <w:jc w:val="right"/>
              <w:spacing w:after="0"/>
              <w:rPr>
                <w:sz w:val="20"/>
                <w:szCs w:val="20"/>
                <w:color w:val="auto"/>
              </w:rPr>
            </w:pPr>
            <w:r>
              <w:rPr>
                <w:rFonts w:ascii="Arial" w:cs="Arial" w:eastAsia="Arial" w:hAnsi="Arial"/>
                <w:sz w:val="12"/>
                <w:szCs w:val="12"/>
                <w:color w:val="auto"/>
              </w:rPr>
              <w:t>2,030</w:t>
            </w:r>
          </w:p>
        </w:tc>
      </w:tr>
      <w:tr>
        <w:trPr>
          <w:trHeight w:val="26"/>
        </w:trPr>
        <w:tc>
          <w:tcPr>
            <w:tcW w:w="59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79"/>
        </w:trPr>
        <w:tc>
          <w:tcPr>
            <w:tcW w:w="590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auto"/>
              </w:rPr>
              <w:t>Government grants and subsidies</w:t>
            </w:r>
          </w:p>
        </w:tc>
        <w:tc>
          <w:tcPr>
            <w:tcW w:w="3920" w:type="dxa"/>
            <w:vAlign w:val="bottom"/>
            <w:tcBorders>
              <w:bottom w:val="single" w:sz="8" w:color="FDF5E7"/>
            </w:tcBorders>
            <w:shd w:val="clear" w:color="auto" w:fill="FDF5E7"/>
          </w:tcPr>
          <w:p>
            <w:pPr>
              <w:jc w:val="right"/>
              <w:ind w:right="1218"/>
              <w:spacing w:after="0"/>
              <w:rPr>
                <w:sz w:val="20"/>
                <w:szCs w:val="20"/>
                <w:color w:val="auto"/>
              </w:rPr>
            </w:pPr>
            <w:r>
              <w:rPr>
                <w:rFonts w:ascii="Arial" w:cs="Arial" w:eastAsia="Arial" w:hAnsi="Arial"/>
                <w:sz w:val="12"/>
                <w:szCs w:val="12"/>
                <w:color w:val="auto"/>
              </w:rPr>
              <w:t>21</w:t>
            </w:r>
          </w:p>
        </w:tc>
        <w:tc>
          <w:tcPr>
            <w:tcW w:w="140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17</w:t>
            </w:r>
          </w:p>
        </w:tc>
      </w:tr>
      <w:tr>
        <w:trPr>
          <w:trHeight w:val="173"/>
        </w:trPr>
        <w:tc>
          <w:tcPr>
            <w:tcW w:w="5900" w:type="dxa"/>
            <w:vAlign w:val="bottom"/>
          </w:tcPr>
          <w:p>
            <w:pPr>
              <w:ind w:left="20"/>
              <w:spacing w:after="0"/>
              <w:rPr>
                <w:sz w:val="20"/>
                <w:szCs w:val="20"/>
                <w:color w:val="auto"/>
              </w:rPr>
            </w:pPr>
            <w:r>
              <w:rPr>
                <w:rFonts w:ascii="Arial" w:cs="Arial" w:eastAsia="Arial" w:hAnsi="Arial"/>
                <w:sz w:val="12"/>
                <w:szCs w:val="12"/>
                <w:color w:val="auto"/>
              </w:rPr>
              <w:t>Other operating income</w:t>
            </w:r>
          </w:p>
        </w:tc>
        <w:tc>
          <w:tcPr>
            <w:tcW w:w="3920" w:type="dxa"/>
            <w:vAlign w:val="bottom"/>
          </w:tcPr>
          <w:p>
            <w:pPr>
              <w:jc w:val="right"/>
              <w:ind w:right="1218"/>
              <w:spacing w:after="0"/>
              <w:rPr>
                <w:sz w:val="20"/>
                <w:szCs w:val="20"/>
                <w:color w:val="auto"/>
              </w:rPr>
            </w:pPr>
            <w:r>
              <w:rPr>
                <w:rFonts w:ascii="Arial" w:cs="Arial" w:eastAsia="Arial" w:hAnsi="Arial"/>
                <w:sz w:val="12"/>
                <w:szCs w:val="12"/>
                <w:color w:val="auto"/>
              </w:rPr>
              <w:t>97</w:t>
            </w:r>
          </w:p>
        </w:tc>
        <w:tc>
          <w:tcPr>
            <w:tcW w:w="1400" w:type="dxa"/>
            <w:vAlign w:val="bottom"/>
          </w:tcPr>
          <w:p>
            <w:pPr>
              <w:jc w:val="right"/>
              <w:spacing w:after="0"/>
              <w:rPr>
                <w:sz w:val="20"/>
                <w:szCs w:val="20"/>
                <w:color w:val="auto"/>
              </w:rPr>
            </w:pPr>
            <w:r>
              <w:rPr>
                <w:rFonts w:ascii="Arial" w:cs="Arial" w:eastAsia="Arial" w:hAnsi="Arial"/>
                <w:sz w:val="12"/>
                <w:szCs w:val="12"/>
                <w:color w:val="auto"/>
              </w:rPr>
              <w:t>135</w:t>
            </w:r>
          </w:p>
        </w:tc>
      </w:tr>
      <w:tr>
        <w:trPr>
          <w:trHeight w:val="26"/>
        </w:trPr>
        <w:tc>
          <w:tcPr>
            <w:tcW w:w="5900" w:type="dxa"/>
            <w:vAlign w:val="bottom"/>
            <w:tcBorders>
              <w:bottom w:val="single" w:sz="8" w:color="242424"/>
            </w:tcBorders>
          </w:tcPr>
          <w:p>
            <w:pPr>
              <w:spacing w:after="0"/>
              <w:rPr>
                <w:sz w:val="2"/>
                <w:szCs w:val="2"/>
                <w:color w:val="auto"/>
              </w:rPr>
            </w:pPr>
          </w:p>
        </w:tc>
        <w:tc>
          <w:tcPr>
            <w:tcW w:w="3920" w:type="dxa"/>
            <w:vAlign w:val="bottom"/>
            <w:tcBorders>
              <w:bottom w:val="single" w:sz="8" w:color="242424"/>
            </w:tcBorders>
          </w:tcPr>
          <w:p>
            <w:pPr>
              <w:spacing w:after="0"/>
              <w:rPr>
                <w:sz w:val="2"/>
                <w:szCs w:val="2"/>
                <w:color w:val="auto"/>
              </w:rPr>
            </w:pPr>
          </w:p>
        </w:tc>
        <w:tc>
          <w:tcPr>
            <w:tcW w:w="1400" w:type="dxa"/>
            <w:vAlign w:val="bottom"/>
            <w:tcBorders>
              <w:bottom w:val="single" w:sz="8" w:color="242424"/>
            </w:tcBorders>
          </w:tcPr>
          <w:p>
            <w:pPr>
              <w:spacing w:after="0"/>
              <w:rPr>
                <w:sz w:val="2"/>
                <w:szCs w:val="2"/>
                <w:color w:val="auto"/>
              </w:rPr>
            </w:pPr>
          </w:p>
        </w:tc>
      </w:tr>
      <w:tr>
        <w:trPr>
          <w:trHeight w:val="172"/>
        </w:trPr>
        <w:tc>
          <w:tcPr>
            <w:tcW w:w="5900" w:type="dxa"/>
            <w:vAlign w:val="bottom"/>
          </w:tcPr>
          <w:p>
            <w:pPr>
              <w:ind w:left="20"/>
              <w:spacing w:after="0"/>
              <w:rPr>
                <w:sz w:val="20"/>
                <w:szCs w:val="20"/>
                <w:color w:val="auto"/>
              </w:rPr>
            </w:pPr>
            <w:r>
              <w:rPr>
                <w:rFonts w:ascii="Arial" w:cs="Arial" w:eastAsia="Arial" w:hAnsi="Arial"/>
                <w:sz w:val="12"/>
                <w:szCs w:val="12"/>
                <w:b w:val="1"/>
                <w:bCs w:val="1"/>
                <w:color w:val="E79B3F"/>
              </w:rPr>
              <w:t>TOTAL</w:t>
            </w:r>
          </w:p>
        </w:tc>
        <w:tc>
          <w:tcPr>
            <w:tcW w:w="3920" w:type="dxa"/>
            <w:vAlign w:val="bottom"/>
          </w:tcPr>
          <w:p>
            <w:pPr>
              <w:jc w:val="right"/>
              <w:ind w:right="1218"/>
              <w:spacing w:after="0"/>
              <w:rPr>
                <w:sz w:val="20"/>
                <w:szCs w:val="20"/>
                <w:color w:val="auto"/>
              </w:rPr>
            </w:pPr>
            <w:r>
              <w:rPr>
                <w:rFonts w:ascii="Arial" w:cs="Arial" w:eastAsia="Arial" w:hAnsi="Arial"/>
                <w:sz w:val="12"/>
                <w:szCs w:val="12"/>
                <w:b w:val="1"/>
                <w:bCs w:val="1"/>
                <w:color w:val="E79B3F"/>
              </w:rPr>
              <w:t>61,199</w:t>
            </w:r>
          </w:p>
        </w:tc>
        <w:tc>
          <w:tcPr>
            <w:tcW w:w="1400" w:type="dxa"/>
            <w:vAlign w:val="bottom"/>
          </w:tcPr>
          <w:p>
            <w:pPr>
              <w:jc w:val="right"/>
              <w:spacing w:after="0"/>
              <w:rPr>
                <w:sz w:val="20"/>
                <w:szCs w:val="20"/>
                <w:color w:val="auto"/>
              </w:rPr>
            </w:pPr>
            <w:r>
              <w:rPr>
                <w:rFonts w:ascii="Arial" w:cs="Arial" w:eastAsia="Arial" w:hAnsi="Arial"/>
                <w:sz w:val="12"/>
                <w:szCs w:val="12"/>
                <w:b w:val="1"/>
                <w:bCs w:val="1"/>
                <w:color w:val="E79B3F"/>
              </w:rPr>
              <w:t>35,670</w:t>
            </w:r>
          </w:p>
        </w:tc>
      </w:tr>
      <w:tr>
        <w:trPr>
          <w:trHeight w:val="20"/>
        </w:trPr>
        <w:tc>
          <w:tcPr>
            <w:tcW w:w="5900" w:type="dxa"/>
            <w:vAlign w:val="bottom"/>
            <w:tcBorders>
              <w:bottom w:val="single" w:sz="8" w:color="242424"/>
            </w:tcBorders>
          </w:tcPr>
          <w:p>
            <w:pPr>
              <w:spacing w:after="0" w:line="20" w:lineRule="exact"/>
              <w:rPr>
                <w:sz w:val="1"/>
                <w:szCs w:val="1"/>
                <w:color w:val="auto"/>
              </w:rPr>
            </w:pPr>
          </w:p>
        </w:tc>
        <w:tc>
          <w:tcPr>
            <w:tcW w:w="3920" w:type="dxa"/>
            <w:vAlign w:val="bottom"/>
            <w:tcBorders>
              <w:bottom w:val="single" w:sz="8" w:color="242424"/>
            </w:tcBorders>
          </w:tcPr>
          <w:p>
            <w:pPr>
              <w:spacing w:after="0" w:line="20" w:lineRule="exact"/>
              <w:rPr>
                <w:sz w:val="1"/>
                <w:szCs w:val="1"/>
                <w:color w:val="auto"/>
              </w:rPr>
            </w:pPr>
          </w:p>
        </w:tc>
        <w:tc>
          <w:tcPr>
            <w:tcW w:w="1400" w:type="dxa"/>
            <w:vAlign w:val="bottom"/>
            <w:tcBorders>
              <w:bottom w:val="single" w:sz="8" w:color="242424"/>
            </w:tcBorders>
          </w:tcPr>
          <w:p>
            <w:pPr>
              <w:spacing w:after="0" w:line="20" w:lineRule="exact"/>
              <w:rPr>
                <w:sz w:val="1"/>
                <w:szCs w:val="1"/>
                <w:color w:val="auto"/>
              </w:rPr>
            </w:pPr>
          </w:p>
        </w:tc>
      </w:tr>
    </w:tbl>
    <w:p>
      <w:pPr>
        <w:spacing w:after="0" w:line="344"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7.1.</w:t>
      </w:r>
      <w:r>
        <w:rPr>
          <w:sz w:val="20"/>
          <w:szCs w:val="20"/>
          <w:color w:val="auto"/>
        </w:rPr>
        <w:tab/>
      </w:r>
      <w:r>
        <w:rPr>
          <w:rFonts w:ascii="Arial" w:cs="Arial" w:eastAsia="Arial" w:hAnsi="Arial"/>
          <w:sz w:val="15"/>
          <w:szCs w:val="15"/>
          <w:b w:val="1"/>
          <w:bCs w:val="1"/>
          <w:color w:val="auto"/>
        </w:rPr>
        <w:t>Revenues from contracts with customers</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Revenues are composed of:</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ind w:left="20"/>
              <w:spacing w:after="0"/>
              <w:rPr>
                <w:sz w:val="20"/>
                <w:szCs w:val="20"/>
                <w:color w:val="auto"/>
              </w:rPr>
            </w:pPr>
            <w:r>
              <w:rPr>
                <w:rFonts w:ascii="Arial" w:cs="Arial" w:eastAsia="Arial" w:hAnsi="Arial"/>
                <w:sz w:val="12"/>
                <w:szCs w:val="12"/>
                <w:b w:val="1"/>
                <w:bCs w:val="1"/>
                <w:color w:val="auto"/>
              </w:rPr>
              <w:t>Revenues</w:t>
            </w:r>
          </w:p>
        </w:tc>
        <w:tc>
          <w:tcPr>
            <w:tcW w:w="3920" w:type="dxa"/>
            <w:vAlign w:val="bottom"/>
          </w:tcPr>
          <w:p>
            <w:pPr>
              <w:jc w:val="right"/>
              <w:ind w:right="738"/>
              <w:spacing w:after="0"/>
              <w:rPr>
                <w:sz w:val="20"/>
                <w:szCs w:val="20"/>
                <w:color w:val="auto"/>
              </w:rPr>
            </w:pPr>
            <w:r>
              <w:rPr>
                <w:rFonts w:ascii="Arial" w:cs="Arial" w:eastAsia="Arial" w:hAnsi="Arial"/>
                <w:sz w:val="12"/>
                <w:szCs w:val="12"/>
                <w:b w:val="1"/>
                <w:bCs w:val="1"/>
                <w:color w:val="auto"/>
              </w:rPr>
              <w:t>Half-year ended</w:t>
            </w:r>
          </w:p>
        </w:tc>
        <w:tc>
          <w:tcPr>
            <w:tcW w:w="1400" w:type="dxa"/>
            <w:vAlign w:val="bottom"/>
          </w:tcPr>
          <w:p>
            <w:pPr>
              <w:spacing w:after="0"/>
              <w:rPr>
                <w:sz w:val="14"/>
                <w:szCs w:val="14"/>
                <w:color w:val="auto"/>
              </w:rPr>
            </w:pPr>
          </w:p>
        </w:tc>
      </w:tr>
      <w:tr>
        <w:trPr>
          <w:trHeight w:val="20"/>
        </w:trPr>
        <w:tc>
          <w:tcPr>
            <w:tcW w:w="5900" w:type="dxa"/>
            <w:vAlign w:val="bottom"/>
          </w:tcPr>
          <w:p>
            <w:pPr>
              <w:spacing w:after="0" w:line="20" w:lineRule="exact"/>
              <w:rPr>
                <w:sz w:val="1"/>
                <w:szCs w:val="1"/>
                <w:color w:val="auto"/>
              </w:rPr>
            </w:pPr>
          </w:p>
        </w:tc>
        <w:tc>
          <w:tcPr>
            <w:tcW w:w="3920" w:type="dxa"/>
            <w:vAlign w:val="bottom"/>
            <w:tcBorders>
              <w:bottom w:val="single" w:sz="8" w:color="242424"/>
            </w:tcBorders>
          </w:tcPr>
          <w:p>
            <w:pPr>
              <w:spacing w:after="0" w:line="20" w:lineRule="exact"/>
              <w:rPr>
                <w:sz w:val="1"/>
                <w:szCs w:val="1"/>
                <w:color w:val="auto"/>
              </w:rPr>
            </w:pPr>
          </w:p>
        </w:tc>
        <w:tc>
          <w:tcPr>
            <w:tcW w:w="1400" w:type="dxa"/>
            <w:vAlign w:val="bottom"/>
            <w:tcBorders>
              <w:bottom w:val="single" w:sz="8" w:color="242424"/>
            </w:tcBorders>
          </w:tcPr>
          <w:p>
            <w:pPr>
              <w:spacing w:after="0" w:line="20" w:lineRule="exact"/>
              <w:rPr>
                <w:sz w:val="1"/>
                <w:szCs w:val="1"/>
                <w:color w:val="auto"/>
              </w:rPr>
            </w:pPr>
          </w:p>
        </w:tc>
      </w:tr>
      <w:tr>
        <w:trPr>
          <w:trHeight w:val="172"/>
        </w:trPr>
        <w:tc>
          <w:tcPr>
            <w:tcW w:w="5900" w:type="dxa"/>
            <w:vAlign w:val="bottom"/>
          </w:tcPr>
          <w:p>
            <w:pPr>
              <w:ind w:left="20"/>
              <w:spacing w:after="0"/>
              <w:rPr>
                <w:sz w:val="20"/>
                <w:szCs w:val="20"/>
                <w:color w:val="auto"/>
              </w:rPr>
            </w:pPr>
            <w:r>
              <w:rPr>
                <w:rFonts w:ascii="Arial" w:cs="Arial" w:eastAsia="Arial" w:hAnsi="Arial"/>
                <w:sz w:val="12"/>
                <w:szCs w:val="12"/>
                <w:i w:val="1"/>
                <w:iCs w:val="1"/>
                <w:color w:val="auto"/>
              </w:rPr>
              <w:t>(in € thousands)</w:t>
            </w:r>
          </w:p>
        </w:tc>
        <w:tc>
          <w:tcPr>
            <w:tcW w:w="3920" w:type="dxa"/>
            <w:vAlign w:val="bottom"/>
          </w:tcPr>
          <w:p>
            <w:pPr>
              <w:jc w:val="right"/>
              <w:ind w:right="1218"/>
              <w:spacing w:after="0"/>
              <w:rPr>
                <w:sz w:val="20"/>
                <w:szCs w:val="20"/>
                <w:color w:val="auto"/>
              </w:rPr>
            </w:pPr>
            <w:r>
              <w:rPr>
                <w:rFonts w:ascii="Arial" w:cs="Arial" w:eastAsia="Arial" w:hAnsi="Arial"/>
                <w:sz w:val="12"/>
                <w:szCs w:val="12"/>
                <w:b w:val="1"/>
                <w:bCs w:val="1"/>
                <w:color w:val="auto"/>
              </w:rPr>
              <w:t>2024/06/30</w:t>
            </w:r>
          </w:p>
        </w:tc>
        <w:tc>
          <w:tcPr>
            <w:tcW w:w="140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5900" w:type="dxa"/>
            <w:vAlign w:val="bottom"/>
            <w:tcBorders>
              <w:bottom w:val="single" w:sz="8" w:color="242424"/>
            </w:tcBorders>
          </w:tcPr>
          <w:p>
            <w:pPr>
              <w:spacing w:after="0" w:line="20" w:lineRule="exact"/>
              <w:rPr>
                <w:sz w:val="1"/>
                <w:szCs w:val="1"/>
                <w:color w:val="auto"/>
              </w:rPr>
            </w:pPr>
          </w:p>
        </w:tc>
        <w:tc>
          <w:tcPr>
            <w:tcW w:w="3920" w:type="dxa"/>
            <w:vAlign w:val="bottom"/>
            <w:tcBorders>
              <w:bottom w:val="single" w:sz="8" w:color="242424"/>
            </w:tcBorders>
          </w:tcPr>
          <w:p>
            <w:pPr>
              <w:spacing w:after="0" w:line="20" w:lineRule="exact"/>
              <w:rPr>
                <w:sz w:val="1"/>
                <w:szCs w:val="1"/>
                <w:color w:val="auto"/>
              </w:rPr>
            </w:pPr>
          </w:p>
        </w:tc>
        <w:tc>
          <w:tcPr>
            <w:tcW w:w="1400" w:type="dxa"/>
            <w:vAlign w:val="bottom"/>
            <w:tcBorders>
              <w:bottom w:val="single" w:sz="8" w:color="242424"/>
            </w:tcBorders>
          </w:tcPr>
          <w:p>
            <w:pPr>
              <w:spacing w:after="0" w:line="20" w:lineRule="exact"/>
              <w:rPr>
                <w:sz w:val="1"/>
                <w:szCs w:val="1"/>
                <w:color w:val="auto"/>
              </w:rPr>
            </w:pPr>
          </w:p>
        </w:tc>
      </w:tr>
      <w:tr>
        <w:trPr>
          <w:trHeight w:val="172"/>
        </w:trPr>
        <w:tc>
          <w:tcPr>
            <w:tcW w:w="590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auto"/>
              </w:rPr>
              <w:t>Royalty revenue</w:t>
            </w:r>
          </w:p>
        </w:tc>
        <w:tc>
          <w:tcPr>
            <w:tcW w:w="3920" w:type="dxa"/>
            <w:vAlign w:val="bottom"/>
            <w:tcBorders>
              <w:bottom w:val="single" w:sz="8" w:color="FDF5E7"/>
            </w:tcBorders>
            <w:shd w:val="clear" w:color="auto" w:fill="FDF5E7"/>
          </w:tcPr>
          <w:p>
            <w:pPr>
              <w:jc w:val="right"/>
              <w:ind w:right="1218"/>
              <w:spacing w:after="0"/>
              <w:rPr>
                <w:sz w:val="20"/>
                <w:szCs w:val="20"/>
                <w:color w:val="auto"/>
              </w:rPr>
            </w:pPr>
            <w:r>
              <w:rPr>
                <w:rFonts w:ascii="Arial" w:cs="Arial" w:eastAsia="Arial" w:hAnsi="Arial"/>
                <w:sz w:val="12"/>
                <w:szCs w:val="12"/>
                <w:color w:val="auto"/>
              </w:rPr>
              <w:t>154</w:t>
            </w:r>
          </w:p>
        </w:tc>
        <w:tc>
          <w:tcPr>
            <w:tcW w:w="140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6,871</w:t>
            </w:r>
          </w:p>
        </w:tc>
      </w:tr>
      <w:tr>
        <w:trPr>
          <w:trHeight w:val="173"/>
        </w:trPr>
        <w:tc>
          <w:tcPr>
            <w:tcW w:w="5900" w:type="dxa"/>
            <w:vAlign w:val="bottom"/>
          </w:tcPr>
          <w:p>
            <w:pPr>
              <w:ind w:left="20"/>
              <w:spacing w:after="0"/>
              <w:rPr>
                <w:sz w:val="20"/>
                <w:szCs w:val="20"/>
                <w:color w:val="auto"/>
              </w:rPr>
            </w:pPr>
            <w:r>
              <w:rPr>
                <w:rFonts w:ascii="Arial" w:cs="Arial" w:eastAsia="Arial" w:hAnsi="Arial"/>
                <w:sz w:val="12"/>
                <w:szCs w:val="12"/>
                <w:color w:val="auto"/>
              </w:rPr>
              <w:t>Milestone revenue</w:t>
            </w:r>
          </w:p>
        </w:tc>
        <w:tc>
          <w:tcPr>
            <w:tcW w:w="3920" w:type="dxa"/>
            <w:vAlign w:val="bottom"/>
          </w:tcPr>
          <w:p>
            <w:pPr>
              <w:jc w:val="right"/>
              <w:ind w:right="1218"/>
              <w:spacing w:after="0"/>
              <w:rPr>
                <w:sz w:val="20"/>
                <w:szCs w:val="20"/>
                <w:color w:val="auto"/>
              </w:rPr>
            </w:pPr>
            <w:r>
              <w:rPr>
                <w:rFonts w:ascii="Arial" w:cs="Arial" w:eastAsia="Arial" w:hAnsi="Arial"/>
                <w:sz w:val="12"/>
                <w:szCs w:val="12"/>
                <w:color w:val="auto"/>
              </w:rPr>
              <w:t>48,686</w:t>
            </w:r>
          </w:p>
        </w:tc>
        <w:tc>
          <w:tcPr>
            <w:tcW w:w="1400" w:type="dxa"/>
            <w:vAlign w:val="bottom"/>
          </w:tcPr>
          <w:p>
            <w:pPr>
              <w:jc w:val="right"/>
              <w:spacing w:after="0"/>
              <w:rPr>
                <w:sz w:val="20"/>
                <w:szCs w:val="20"/>
                <w:color w:val="auto"/>
              </w:rPr>
            </w:pPr>
            <w:r>
              <w:rPr>
                <w:rFonts w:ascii="Arial" w:cs="Arial" w:eastAsia="Arial" w:hAnsi="Arial"/>
                <w:sz w:val="12"/>
                <w:szCs w:val="12"/>
                <w:color w:val="auto"/>
              </w:rPr>
              <w:t>26,556</w:t>
            </w:r>
          </w:p>
        </w:tc>
      </w:tr>
      <w:tr>
        <w:trPr>
          <w:trHeight w:val="26"/>
        </w:trPr>
        <w:tc>
          <w:tcPr>
            <w:tcW w:w="59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79"/>
        </w:trPr>
        <w:tc>
          <w:tcPr>
            <w:tcW w:w="590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auto"/>
              </w:rPr>
              <w:t>Revenue initially deferred from the Licensing Agreement (Ipsen)</w:t>
            </w:r>
          </w:p>
        </w:tc>
        <w:tc>
          <w:tcPr>
            <w:tcW w:w="3920" w:type="dxa"/>
            <w:vAlign w:val="bottom"/>
            <w:tcBorders>
              <w:bottom w:val="single" w:sz="8" w:color="FDF5E7"/>
            </w:tcBorders>
            <w:shd w:val="clear" w:color="auto" w:fill="FDF5E7"/>
          </w:tcPr>
          <w:p>
            <w:pPr>
              <w:jc w:val="right"/>
              <w:ind w:right="1218"/>
              <w:spacing w:after="0"/>
              <w:rPr>
                <w:sz w:val="20"/>
                <w:szCs w:val="20"/>
                <w:color w:val="auto"/>
              </w:rPr>
            </w:pPr>
            <w:r>
              <w:rPr>
                <w:rFonts w:ascii="Arial" w:cs="Arial" w:eastAsia="Arial" w:hAnsi="Arial"/>
                <w:sz w:val="12"/>
                <w:szCs w:val="12"/>
                <w:color w:val="auto"/>
              </w:rPr>
              <w:t>9,354</w:t>
            </w:r>
          </w:p>
        </w:tc>
        <w:tc>
          <w:tcPr>
            <w:tcW w:w="140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0</w:t>
            </w:r>
          </w:p>
        </w:tc>
      </w:tr>
      <w:tr>
        <w:trPr>
          <w:trHeight w:val="173"/>
        </w:trPr>
        <w:tc>
          <w:tcPr>
            <w:tcW w:w="5900" w:type="dxa"/>
            <w:vAlign w:val="bottom"/>
          </w:tcPr>
          <w:p>
            <w:pPr>
              <w:ind w:left="20"/>
              <w:spacing w:after="0"/>
              <w:rPr>
                <w:sz w:val="20"/>
                <w:szCs w:val="20"/>
                <w:color w:val="auto"/>
              </w:rPr>
            </w:pPr>
            <w:r>
              <w:rPr>
                <w:rFonts w:ascii="Arial" w:cs="Arial" w:eastAsia="Arial" w:hAnsi="Arial"/>
                <w:sz w:val="12"/>
                <w:szCs w:val="12"/>
                <w:color w:val="auto"/>
              </w:rPr>
              <w:t>Revenue from the Part B Transition Services Agreement (Ipsen)</w:t>
            </w:r>
          </w:p>
        </w:tc>
        <w:tc>
          <w:tcPr>
            <w:tcW w:w="3920" w:type="dxa"/>
            <w:vAlign w:val="bottom"/>
          </w:tcPr>
          <w:p>
            <w:pPr>
              <w:jc w:val="right"/>
              <w:ind w:right="1218"/>
              <w:spacing w:after="0"/>
              <w:rPr>
                <w:sz w:val="20"/>
                <w:szCs w:val="20"/>
                <w:color w:val="auto"/>
              </w:rPr>
            </w:pPr>
            <w:r>
              <w:rPr>
                <w:rFonts w:ascii="Arial" w:cs="Arial" w:eastAsia="Arial" w:hAnsi="Arial"/>
                <w:sz w:val="12"/>
                <w:szCs w:val="12"/>
                <w:color w:val="auto"/>
              </w:rPr>
              <w:t>752</w:t>
            </w:r>
          </w:p>
        </w:tc>
        <w:tc>
          <w:tcPr>
            <w:tcW w:w="1400" w:type="dxa"/>
            <w:vAlign w:val="bottom"/>
          </w:tcPr>
          <w:p>
            <w:pPr>
              <w:jc w:val="right"/>
              <w:spacing w:after="0"/>
              <w:rPr>
                <w:sz w:val="20"/>
                <w:szCs w:val="20"/>
                <w:color w:val="auto"/>
              </w:rPr>
            </w:pPr>
            <w:r>
              <w:rPr>
                <w:rFonts w:ascii="Arial" w:cs="Arial" w:eastAsia="Arial" w:hAnsi="Arial"/>
                <w:sz w:val="12"/>
                <w:szCs w:val="12"/>
                <w:color w:val="auto"/>
              </w:rPr>
              <w:t>0</w:t>
            </w:r>
          </w:p>
        </w:tc>
      </w:tr>
      <w:tr>
        <w:trPr>
          <w:trHeight w:val="26"/>
        </w:trPr>
        <w:tc>
          <w:tcPr>
            <w:tcW w:w="59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4"/>
        </w:trPr>
        <w:tc>
          <w:tcPr>
            <w:tcW w:w="590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auto"/>
              </w:rPr>
              <w:t>Other revenue</w:t>
            </w:r>
          </w:p>
        </w:tc>
        <w:tc>
          <w:tcPr>
            <w:tcW w:w="3920" w:type="dxa"/>
            <w:vAlign w:val="bottom"/>
            <w:tcBorders>
              <w:bottom w:val="single" w:sz="8" w:color="FDF5E7"/>
            </w:tcBorders>
            <w:shd w:val="clear" w:color="auto" w:fill="FDF5E7"/>
          </w:tcPr>
          <w:p>
            <w:pPr>
              <w:jc w:val="right"/>
              <w:ind w:right="1218"/>
              <w:spacing w:after="0"/>
              <w:rPr>
                <w:sz w:val="20"/>
                <w:szCs w:val="20"/>
                <w:color w:val="auto"/>
              </w:rPr>
            </w:pPr>
            <w:r>
              <w:rPr>
                <w:rFonts w:ascii="Arial" w:cs="Arial" w:eastAsia="Arial" w:hAnsi="Arial"/>
                <w:sz w:val="12"/>
                <w:szCs w:val="12"/>
                <w:color w:val="auto"/>
              </w:rPr>
              <w:t>28</w:t>
            </w:r>
          </w:p>
        </w:tc>
        <w:tc>
          <w:tcPr>
            <w:tcW w:w="140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61</w:t>
            </w:r>
          </w:p>
        </w:tc>
      </w:tr>
      <w:tr>
        <w:trPr>
          <w:trHeight w:val="172"/>
        </w:trPr>
        <w:tc>
          <w:tcPr>
            <w:tcW w:w="590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E79B3F"/>
              </w:rPr>
              <w:t>TOTAL</w:t>
            </w:r>
          </w:p>
        </w:tc>
        <w:tc>
          <w:tcPr>
            <w:tcW w:w="3920" w:type="dxa"/>
            <w:vAlign w:val="bottom"/>
            <w:tcBorders>
              <w:top w:val="single" w:sz="8" w:color="auto"/>
            </w:tcBorders>
          </w:tcPr>
          <w:p>
            <w:pPr>
              <w:jc w:val="right"/>
              <w:ind w:right="1218"/>
              <w:spacing w:after="0"/>
              <w:rPr>
                <w:sz w:val="20"/>
                <w:szCs w:val="20"/>
                <w:color w:val="auto"/>
              </w:rPr>
            </w:pPr>
            <w:r>
              <w:rPr>
                <w:rFonts w:ascii="Arial" w:cs="Arial" w:eastAsia="Arial" w:hAnsi="Arial"/>
                <w:sz w:val="12"/>
                <w:szCs w:val="12"/>
                <w:b w:val="1"/>
                <w:bCs w:val="1"/>
                <w:color w:val="E79B3F"/>
              </w:rPr>
              <w:t>58,973</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E79B3F"/>
              </w:rPr>
              <w:t>33,488</w:t>
            </w:r>
          </w:p>
        </w:tc>
      </w:tr>
      <w:tr>
        <w:trPr>
          <w:trHeight w:val="20"/>
        </w:trPr>
        <w:tc>
          <w:tcPr>
            <w:tcW w:w="5900" w:type="dxa"/>
            <w:vAlign w:val="bottom"/>
            <w:tcBorders>
              <w:bottom w:val="single" w:sz="8" w:color="242424"/>
            </w:tcBorders>
          </w:tcPr>
          <w:p>
            <w:pPr>
              <w:spacing w:after="0" w:line="20" w:lineRule="exact"/>
              <w:rPr>
                <w:sz w:val="1"/>
                <w:szCs w:val="1"/>
                <w:color w:val="auto"/>
              </w:rPr>
            </w:pPr>
          </w:p>
        </w:tc>
        <w:tc>
          <w:tcPr>
            <w:tcW w:w="3920" w:type="dxa"/>
            <w:vAlign w:val="bottom"/>
            <w:tcBorders>
              <w:bottom w:val="single" w:sz="8" w:color="242424"/>
            </w:tcBorders>
          </w:tcPr>
          <w:p>
            <w:pPr>
              <w:spacing w:after="0" w:line="20" w:lineRule="exact"/>
              <w:rPr>
                <w:sz w:val="1"/>
                <w:szCs w:val="1"/>
                <w:color w:val="auto"/>
              </w:rPr>
            </w:pPr>
          </w:p>
        </w:tc>
        <w:tc>
          <w:tcPr>
            <w:tcW w:w="1400" w:type="dxa"/>
            <w:vAlign w:val="bottom"/>
            <w:tcBorders>
              <w:bottom w:val="single" w:sz="8" w:color="242424"/>
            </w:tcBorders>
          </w:tcPr>
          <w:p>
            <w:pPr>
              <w:spacing w:after="0" w:line="20" w:lineRule="exact"/>
              <w:rPr>
                <w:sz w:val="1"/>
                <w:szCs w:val="1"/>
                <w:color w:val="auto"/>
              </w:rPr>
            </w:pPr>
          </w:p>
        </w:tc>
      </w:tr>
    </w:tbl>
    <w:p>
      <w:pPr>
        <w:spacing w:after="0" w:line="248"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Royalty revenue</w:t>
      </w:r>
    </w:p>
    <w:p>
      <w:pPr>
        <w:spacing w:after="0" w:line="18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5"/>
          <w:szCs w:val="15"/>
          <w:color w:val="3C3C3B"/>
        </w:rPr>
        <w:t xml:space="preserve">Royalty revenue is derived from worldwide sales (excluding Greater China) of Ipsen's Iqirvo® (elafibranor). These are utilized to repay the Group's Royalty Financing agreement. See </w:t>
      </w:r>
      <w:r>
        <w:rPr>
          <w:rFonts w:ascii="Arial" w:cs="Arial" w:eastAsia="Arial" w:hAnsi="Arial"/>
          <w:sz w:val="15"/>
          <w:szCs w:val="15"/>
          <w:u w:val="single" w:color="auto"/>
          <w:color w:val="0000FF"/>
        </w:rPr>
        <w:t>Note 17 - Loans and borrowings</w:t>
      </w:r>
      <w:r>
        <w:rPr>
          <w:rFonts w:ascii="Arial" w:cs="Arial" w:eastAsia="Arial" w:hAnsi="Arial"/>
          <w:sz w:val="15"/>
          <w:szCs w:val="15"/>
          <w:color w:val="3C3C3B"/>
        </w:rPr>
        <w:t>.</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Milestone revenue</w:t>
      </w:r>
    </w:p>
    <w:p>
      <w:pPr>
        <w:spacing w:after="0" w:line="18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3C3C3B"/>
        </w:rPr>
        <w:t>On May 20, 2025, GENFIT announced that Ipsen’s Iqirvo® (elafibranor) was granted pricing and reimbursement in Italy for Primary Biliary Cholangitis (PBC), the third major European country to do so in addition to the UK and Germany. This third approval triggered a new milestone payment of €26.5 million under GENFIT's Licensing and Collaboration Agreement with Ipsen, due upon pricing and reimbursement of Iqirvo® (elafibranor) in three major European markets.</w:t>
      </w:r>
    </w:p>
    <w:p>
      <w:pPr>
        <w:spacing w:after="0" w:line="238"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7.2.</w:t>
      </w:r>
      <w:r>
        <w:rPr>
          <w:sz w:val="20"/>
          <w:szCs w:val="20"/>
          <w:color w:val="auto"/>
        </w:rPr>
        <w:tab/>
      </w:r>
      <w:r>
        <w:rPr>
          <w:rFonts w:ascii="Arial" w:cs="Arial" w:eastAsia="Arial" w:hAnsi="Arial"/>
          <w:sz w:val="15"/>
          <w:szCs w:val="15"/>
          <w:b w:val="1"/>
          <w:bCs w:val="1"/>
          <w:color w:val="auto"/>
        </w:rPr>
        <w:t>Other income</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Other income is composed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60" w:type="dxa"/>
            <w:vAlign w:val="bottom"/>
          </w:tcPr>
          <w:p>
            <w:pPr>
              <w:ind w:left="20"/>
              <w:spacing w:after="0"/>
              <w:rPr>
                <w:sz w:val="20"/>
                <w:szCs w:val="20"/>
                <w:color w:val="auto"/>
              </w:rPr>
            </w:pPr>
            <w:r>
              <w:rPr>
                <w:rFonts w:ascii="Arial" w:cs="Arial" w:eastAsia="Arial" w:hAnsi="Arial"/>
                <w:sz w:val="12"/>
                <w:szCs w:val="12"/>
                <w:b w:val="1"/>
                <w:bCs w:val="1"/>
                <w:color w:val="3C3C3B"/>
              </w:rPr>
              <w:t>Other income</w:t>
            </w:r>
          </w:p>
        </w:tc>
        <w:tc>
          <w:tcPr>
            <w:tcW w:w="2440" w:type="dxa"/>
            <w:vAlign w:val="bottom"/>
          </w:tcPr>
          <w:p>
            <w:pPr>
              <w:jc w:val="right"/>
              <w:ind w:right="238"/>
              <w:spacing w:after="0"/>
              <w:rPr>
                <w:sz w:val="20"/>
                <w:szCs w:val="20"/>
                <w:color w:val="auto"/>
              </w:rPr>
            </w:pPr>
            <w:r>
              <w:rPr>
                <w:rFonts w:ascii="Arial" w:cs="Arial" w:eastAsia="Arial" w:hAnsi="Arial"/>
                <w:sz w:val="12"/>
                <w:szCs w:val="12"/>
                <w:b w:val="1"/>
                <w:bCs w:val="1"/>
                <w:color w:val="3C3C3B"/>
              </w:rPr>
              <w:t>Half-year ended</w:t>
            </w:r>
          </w:p>
        </w:tc>
        <w:tc>
          <w:tcPr>
            <w:tcW w:w="920" w:type="dxa"/>
            <w:vAlign w:val="bottom"/>
          </w:tcPr>
          <w:p>
            <w:pPr>
              <w:spacing w:after="0"/>
              <w:rPr>
                <w:sz w:val="14"/>
                <w:szCs w:val="14"/>
                <w:color w:val="auto"/>
              </w:rPr>
            </w:pPr>
          </w:p>
        </w:tc>
      </w:tr>
      <w:tr>
        <w:trPr>
          <w:trHeight w:val="20"/>
        </w:trPr>
        <w:tc>
          <w:tcPr>
            <w:tcW w:w="786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2"/>
        </w:trPr>
        <w:tc>
          <w:tcPr>
            <w:tcW w:w="786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2440" w:type="dxa"/>
            <w:vAlign w:val="bottom"/>
          </w:tcPr>
          <w:p>
            <w:pPr>
              <w:jc w:val="right"/>
              <w:ind w:right="758"/>
              <w:spacing w:after="0"/>
              <w:rPr>
                <w:sz w:val="20"/>
                <w:szCs w:val="20"/>
                <w:color w:val="auto"/>
              </w:rPr>
            </w:pPr>
            <w:r>
              <w:rPr>
                <w:rFonts w:ascii="Arial" w:cs="Arial" w:eastAsia="Arial" w:hAnsi="Arial"/>
                <w:sz w:val="12"/>
                <w:szCs w:val="12"/>
                <w:b w:val="1"/>
                <w:bCs w:val="1"/>
                <w:color w:val="3C3C3B"/>
              </w:rPr>
              <w:t>2024/06/30</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78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2"/>
        </w:trPr>
        <w:tc>
          <w:tcPr>
            <w:tcW w:w="78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CIR tax credit</w:t>
            </w:r>
          </w:p>
        </w:tc>
        <w:tc>
          <w:tcPr>
            <w:tcW w:w="2440" w:type="dxa"/>
            <w:vAlign w:val="bottom"/>
            <w:tcBorders>
              <w:bottom w:val="single" w:sz="8" w:color="FDF5E7"/>
            </w:tcBorders>
            <w:shd w:val="clear" w:color="auto" w:fill="FDF5E7"/>
          </w:tcPr>
          <w:p>
            <w:pPr>
              <w:jc w:val="right"/>
              <w:ind w:right="798"/>
              <w:spacing w:after="0"/>
              <w:rPr>
                <w:sz w:val="20"/>
                <w:szCs w:val="20"/>
                <w:color w:val="auto"/>
              </w:rPr>
            </w:pPr>
            <w:r>
              <w:rPr>
                <w:rFonts w:ascii="Arial" w:cs="Arial" w:eastAsia="Arial" w:hAnsi="Arial"/>
                <w:sz w:val="12"/>
                <w:szCs w:val="12"/>
                <w:color w:val="auto"/>
              </w:rPr>
              <w:t>2,108</w:t>
            </w:r>
          </w:p>
        </w:tc>
        <w:tc>
          <w:tcPr>
            <w:tcW w:w="9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2,030</w:t>
            </w:r>
          </w:p>
        </w:tc>
      </w:tr>
      <w:tr>
        <w:trPr>
          <w:trHeight w:val="173"/>
        </w:trPr>
        <w:tc>
          <w:tcPr>
            <w:tcW w:w="7860" w:type="dxa"/>
            <w:vAlign w:val="bottom"/>
          </w:tcPr>
          <w:p>
            <w:pPr>
              <w:ind w:left="20"/>
              <w:spacing w:after="0"/>
              <w:rPr>
                <w:sz w:val="20"/>
                <w:szCs w:val="20"/>
                <w:color w:val="auto"/>
              </w:rPr>
            </w:pPr>
            <w:r>
              <w:rPr>
                <w:rFonts w:ascii="Arial" w:cs="Arial" w:eastAsia="Arial" w:hAnsi="Arial"/>
                <w:sz w:val="12"/>
                <w:szCs w:val="12"/>
                <w:color w:val="3C3C3B"/>
              </w:rPr>
              <w:t>Other operating income (including exchange gains on trade payables and receivables)</w:t>
            </w:r>
          </w:p>
        </w:tc>
        <w:tc>
          <w:tcPr>
            <w:tcW w:w="2440" w:type="dxa"/>
            <w:vAlign w:val="bottom"/>
          </w:tcPr>
          <w:p>
            <w:pPr>
              <w:jc w:val="right"/>
              <w:ind w:right="798"/>
              <w:spacing w:after="0"/>
              <w:rPr>
                <w:sz w:val="20"/>
                <w:szCs w:val="20"/>
                <w:color w:val="auto"/>
              </w:rPr>
            </w:pPr>
            <w:r>
              <w:rPr>
                <w:rFonts w:ascii="Arial" w:cs="Arial" w:eastAsia="Arial" w:hAnsi="Arial"/>
                <w:sz w:val="12"/>
                <w:szCs w:val="12"/>
                <w:color w:val="auto"/>
              </w:rPr>
              <w:t>97</w:t>
            </w:r>
          </w:p>
        </w:tc>
        <w:tc>
          <w:tcPr>
            <w:tcW w:w="920" w:type="dxa"/>
            <w:vAlign w:val="bottom"/>
          </w:tcPr>
          <w:p>
            <w:pPr>
              <w:jc w:val="right"/>
              <w:spacing w:after="0"/>
              <w:rPr>
                <w:sz w:val="20"/>
                <w:szCs w:val="20"/>
                <w:color w:val="auto"/>
              </w:rPr>
            </w:pPr>
            <w:r>
              <w:rPr>
                <w:rFonts w:ascii="Arial" w:cs="Arial" w:eastAsia="Arial" w:hAnsi="Arial"/>
                <w:sz w:val="12"/>
                <w:szCs w:val="12"/>
                <w:color w:val="auto"/>
              </w:rPr>
              <w:t>135</w:t>
            </w:r>
          </w:p>
        </w:tc>
      </w:tr>
      <w:tr>
        <w:trPr>
          <w:trHeight w:val="26"/>
        </w:trPr>
        <w:tc>
          <w:tcPr>
            <w:tcW w:w="78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4"/>
        </w:trPr>
        <w:tc>
          <w:tcPr>
            <w:tcW w:w="78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Government grants and subsidies</w:t>
            </w:r>
          </w:p>
        </w:tc>
        <w:tc>
          <w:tcPr>
            <w:tcW w:w="2440" w:type="dxa"/>
            <w:vAlign w:val="bottom"/>
            <w:tcBorders>
              <w:bottom w:val="single" w:sz="8" w:color="FDF5E7"/>
            </w:tcBorders>
            <w:shd w:val="clear" w:color="auto" w:fill="FDF5E7"/>
          </w:tcPr>
          <w:p>
            <w:pPr>
              <w:jc w:val="right"/>
              <w:ind w:right="798"/>
              <w:spacing w:after="0"/>
              <w:rPr>
                <w:sz w:val="20"/>
                <w:szCs w:val="20"/>
                <w:color w:val="auto"/>
              </w:rPr>
            </w:pPr>
            <w:r>
              <w:rPr>
                <w:rFonts w:ascii="Arial" w:cs="Arial" w:eastAsia="Arial" w:hAnsi="Arial"/>
                <w:sz w:val="12"/>
                <w:szCs w:val="12"/>
                <w:color w:val="auto"/>
              </w:rPr>
              <w:t>21</w:t>
            </w:r>
          </w:p>
        </w:tc>
        <w:tc>
          <w:tcPr>
            <w:tcW w:w="9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17</w:t>
            </w:r>
          </w:p>
        </w:tc>
      </w:tr>
      <w:tr>
        <w:trPr>
          <w:trHeight w:val="172"/>
        </w:trPr>
        <w:tc>
          <w:tcPr>
            <w:tcW w:w="7860" w:type="dxa"/>
            <w:vAlign w:val="bottom"/>
            <w:tcBorders>
              <w:top w:val="single" w:sz="8" w:color="242424"/>
            </w:tcBorders>
          </w:tcPr>
          <w:p>
            <w:pPr>
              <w:ind w:left="20"/>
              <w:spacing w:after="0"/>
              <w:rPr>
                <w:sz w:val="20"/>
                <w:szCs w:val="20"/>
                <w:color w:val="auto"/>
              </w:rPr>
            </w:pPr>
            <w:r>
              <w:rPr>
                <w:rFonts w:ascii="Arial" w:cs="Arial" w:eastAsia="Arial" w:hAnsi="Arial"/>
                <w:sz w:val="12"/>
                <w:szCs w:val="12"/>
                <w:b w:val="1"/>
                <w:bCs w:val="1"/>
                <w:color w:val="3C3C3B"/>
              </w:rPr>
              <w:t>TOTAL</w:t>
            </w:r>
          </w:p>
        </w:tc>
        <w:tc>
          <w:tcPr>
            <w:tcW w:w="2440" w:type="dxa"/>
            <w:vAlign w:val="bottom"/>
            <w:tcBorders>
              <w:top w:val="single" w:sz="8" w:color="242424"/>
            </w:tcBorders>
          </w:tcPr>
          <w:p>
            <w:pPr>
              <w:jc w:val="right"/>
              <w:ind w:right="798"/>
              <w:spacing w:after="0"/>
              <w:rPr>
                <w:sz w:val="20"/>
                <w:szCs w:val="20"/>
                <w:color w:val="auto"/>
              </w:rPr>
            </w:pPr>
            <w:r>
              <w:rPr>
                <w:rFonts w:ascii="Arial" w:cs="Arial" w:eastAsia="Arial" w:hAnsi="Arial"/>
                <w:sz w:val="12"/>
                <w:szCs w:val="12"/>
                <w:b w:val="1"/>
                <w:bCs w:val="1"/>
                <w:color w:val="auto"/>
              </w:rPr>
              <w:t>2,226</w:t>
            </w:r>
          </w:p>
        </w:tc>
        <w:tc>
          <w:tcPr>
            <w:tcW w:w="920" w:type="dxa"/>
            <w:vAlign w:val="bottom"/>
            <w:tcBorders>
              <w:top w:val="single" w:sz="8" w:color="242424"/>
            </w:tcBorders>
          </w:tcPr>
          <w:p>
            <w:pPr>
              <w:jc w:val="right"/>
              <w:spacing w:after="0"/>
              <w:rPr>
                <w:sz w:val="20"/>
                <w:szCs w:val="20"/>
                <w:color w:val="auto"/>
              </w:rPr>
            </w:pPr>
            <w:r>
              <w:rPr>
                <w:rFonts w:ascii="Arial" w:cs="Arial" w:eastAsia="Arial" w:hAnsi="Arial"/>
                <w:sz w:val="12"/>
                <w:szCs w:val="12"/>
                <w:b w:val="1"/>
                <w:bCs w:val="1"/>
                <w:color w:val="E99D25"/>
              </w:rPr>
              <w:t>2,182</w:t>
            </w:r>
          </w:p>
        </w:tc>
      </w:tr>
      <w:tr>
        <w:trPr>
          <w:trHeight w:val="20"/>
        </w:trPr>
        <w:tc>
          <w:tcPr>
            <w:tcW w:w="7860" w:type="dxa"/>
            <w:vAlign w:val="bottom"/>
            <w:tcBorders>
              <w:bottom w:val="single" w:sz="8" w:color="242424"/>
            </w:tcBorders>
          </w:tcPr>
          <w:p>
            <w:pPr>
              <w:spacing w:after="0" w:line="20" w:lineRule="exact"/>
              <w:rPr>
                <w:sz w:val="1"/>
                <w:szCs w:val="1"/>
                <w:color w:val="auto"/>
              </w:rPr>
            </w:pPr>
          </w:p>
        </w:tc>
        <w:tc>
          <w:tcPr>
            <w:tcW w:w="2440" w:type="dxa"/>
            <w:vAlign w:val="bottom"/>
            <w:tcBorders>
              <w:bottom w:val="single" w:sz="8" w:color="242424"/>
            </w:tcBorders>
          </w:tcPr>
          <w:p>
            <w:pPr>
              <w:spacing w:after="0" w:line="20" w:lineRule="exact"/>
              <w:rPr>
                <w:sz w:val="1"/>
                <w:szCs w:val="1"/>
                <w:color w:val="auto"/>
              </w:rPr>
            </w:pPr>
          </w:p>
        </w:tc>
        <w:tc>
          <w:tcPr>
            <w:tcW w:w="920" w:type="dxa"/>
            <w:vAlign w:val="bottom"/>
            <w:tcBorders>
              <w:bottom w:val="single" w:sz="8" w:color="242424"/>
            </w:tcBorders>
          </w:tcPr>
          <w:p>
            <w:pPr>
              <w:spacing w:after="0" w:line="20" w:lineRule="exact"/>
              <w:rPr>
                <w:sz w:val="1"/>
                <w:szCs w:val="1"/>
                <w:color w:val="auto"/>
              </w:rPr>
            </w:pPr>
          </w:p>
        </w:tc>
      </w:tr>
    </w:tbl>
    <w:p>
      <w:pPr>
        <w:spacing w:after="0" w:line="384"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8"/>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26</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32" w:name="page33"/>
    <w:bookmarkEnd w:id="32"/>
    <w:p>
      <w:pPr>
        <w:ind w:left="320"/>
        <w:spacing w:after="0"/>
        <w:rPr>
          <w:sz w:val="20"/>
          <w:szCs w:val="20"/>
          <w:color w:val="auto"/>
        </w:rPr>
      </w:pPr>
      <w:r>
        <w:rPr>
          <w:rFonts w:ascii="Arial" w:cs="Arial" w:eastAsia="Arial" w:hAnsi="Arial"/>
          <w:sz w:val="15"/>
          <w:szCs w:val="15"/>
          <w:b w:val="1"/>
          <w:bCs w:val="1"/>
          <w:u w:val="single" w:color="auto"/>
          <w:color w:val="auto"/>
        </w:rPr>
        <w:t>CIR tax credit</w:t>
      </w:r>
    </w:p>
    <w:p>
      <w:pPr>
        <w:spacing w:after="0" w:line="185"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5"/>
          <w:szCs w:val="15"/>
          <w:color w:val="3C3C3B"/>
        </w:rPr>
        <w:t>The Research Tax Credit ("Crédit d'Impôt Recherche," or "CIR") is granted to entities by the French tax authorities in order to encourage them to conduct technical and scientific research. Entities that demonstrate that their research expenditures meet the required CIR criteria receive a tax credit that may be used for the payment of their income tax due for the fiscal year in which the expenditures were incurred, as well as in the next three years. If taxes due are not sufficient to cover the full amount of tax credit at the end of the three-year period, the difference is paid in cash to the entity by the tax authorities. If a company meets certain criteria in terms of sales, headcount or assets to be considered a small/mid-size company, immediate payment of the Research Tax Credit can be requested. The Group meets such criteria.</w:t>
      </w:r>
    </w:p>
    <w:p>
      <w:pPr>
        <w:spacing w:after="0" w:line="150"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3C3C3B"/>
        </w:rPr>
        <w:t>The Group applies for CIR for research expenditures incurred in each fiscal year and recognizes the amount claimed in the line item "Other income" in the statements of operations in the same fiscal year. In the notes to the financial statements, the amount claimed is recognized under the heading "Research tax credit" (see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Note 13 - Current trade and other receivables</w:t>
      </w:r>
      <w:r>
        <w:rPr>
          <w:rFonts w:ascii="Arial" w:cs="Arial" w:eastAsia="Arial" w:hAnsi="Arial"/>
          <w:sz w:val="15"/>
          <w:szCs w:val="15"/>
          <w:color w:val="0000FF"/>
        </w:rPr>
        <w:t xml:space="preserve"> </w:t>
      </w:r>
      <w:r>
        <w:rPr>
          <w:rFonts w:ascii="Arial" w:cs="Arial" w:eastAsia="Arial" w:hAnsi="Arial"/>
          <w:sz w:val="15"/>
          <w:szCs w:val="15"/>
          <w:color w:val="3C3C3B"/>
        </w:rPr>
        <w:t>and the table above).</w:t>
      </w:r>
    </w:p>
    <w:p>
      <w:pPr>
        <w:spacing w:after="0" w:line="160"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During the first six months of 2025, the research tax credit (CIR) amounted to €2,030 in 2025, (€2,108 for the same period in 2024), due to a reduction in eligible research and development expenses.</w:t>
      </w:r>
    </w:p>
    <w:p>
      <w:pPr>
        <w:spacing w:after="0" w:line="218" w:lineRule="exact"/>
        <w:rPr>
          <w:sz w:val="20"/>
          <w:szCs w:val="20"/>
          <w:color w:val="auto"/>
        </w:rPr>
      </w:pPr>
    </w:p>
    <w:p>
      <w:pPr>
        <w:ind w:left="480" w:hanging="474"/>
        <w:spacing w:after="0"/>
        <w:tabs>
          <w:tab w:leader="none" w:pos="480" w:val="left"/>
        </w:tabs>
        <w:numPr>
          <w:ilvl w:val="0"/>
          <w:numId w:val="42"/>
        </w:numPr>
        <w:rPr>
          <w:rFonts w:ascii="Arial" w:cs="Arial" w:eastAsia="Arial" w:hAnsi="Arial"/>
          <w:sz w:val="16"/>
          <w:szCs w:val="16"/>
          <w:b w:val="1"/>
          <w:bCs w:val="1"/>
          <w:color w:val="E99D25"/>
        </w:rPr>
      </w:pPr>
      <w:r>
        <w:rPr>
          <w:rFonts w:ascii="Arial" w:cs="Arial" w:eastAsia="Arial" w:hAnsi="Arial"/>
          <w:sz w:val="16"/>
          <w:szCs w:val="16"/>
          <w:b w:val="1"/>
          <w:bCs w:val="1"/>
          <w:color w:val="E99D25"/>
        </w:rPr>
        <w:t>OPERATING EXPENSES</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3C3C3B"/>
        </w:rPr>
        <w:t>Financial statement line item detail</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460" w:type="dxa"/>
            <w:vAlign w:val="bottom"/>
          </w:tcPr>
          <w:p>
            <w:pPr>
              <w:ind w:left="20"/>
              <w:spacing w:after="0"/>
              <w:rPr>
                <w:sz w:val="20"/>
                <w:szCs w:val="20"/>
                <w:color w:val="auto"/>
              </w:rPr>
            </w:pPr>
            <w:r>
              <w:rPr>
                <w:rFonts w:ascii="Arial" w:cs="Arial" w:eastAsia="Arial" w:hAnsi="Arial"/>
                <w:sz w:val="12"/>
                <w:szCs w:val="12"/>
                <w:b w:val="1"/>
                <w:bCs w:val="1"/>
                <w:color w:val="3C3C3B"/>
              </w:rPr>
              <w:t>Operating expenses and other</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Arial" w:cs="Arial" w:eastAsia="Arial" w:hAnsi="Arial"/>
                <w:sz w:val="12"/>
                <w:szCs w:val="12"/>
                <w:b w:val="1"/>
                <w:bCs w:val="1"/>
                <w:color w:val="3C3C3B"/>
              </w:rPr>
              <w:t>operating income (expenses)</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3C3C3B"/>
              </w:rPr>
              <w:t>Half-year ended</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3C3C3B"/>
              </w:rPr>
              <w:t>Of which :</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Arial" w:cs="Arial" w:eastAsia="Arial" w:hAnsi="Arial"/>
                <w:sz w:val="12"/>
                <w:szCs w:val="12"/>
                <w:b w:val="1"/>
                <w:bCs w:val="1"/>
                <w:color w:val="3C3C3B"/>
              </w:rPr>
              <w:t>2024/06/30</w:t>
            </w: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24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218"/>
              <w:spacing w:after="0"/>
              <w:rPr>
                <w:sz w:val="20"/>
                <w:szCs w:val="20"/>
                <w:color w:val="auto"/>
              </w:rPr>
            </w:pPr>
            <w:r>
              <w:rPr>
                <w:rFonts w:ascii="Arial" w:cs="Arial" w:eastAsia="Arial" w:hAnsi="Arial"/>
                <w:sz w:val="12"/>
                <w:szCs w:val="12"/>
                <w:b w:val="1"/>
                <w:bCs w:val="1"/>
                <w:color w:val="3C3C3B"/>
              </w:rPr>
              <w:t>Raw</w:t>
            </w:r>
          </w:p>
        </w:tc>
        <w:tc>
          <w:tcPr>
            <w:tcW w:w="1320" w:type="dxa"/>
            <w:vAlign w:val="bottom"/>
          </w:tcPr>
          <w:p>
            <w:pPr>
              <w:jc w:val="right"/>
              <w:ind w:right="238"/>
              <w:spacing w:after="0"/>
              <w:rPr>
                <w:sz w:val="20"/>
                <w:szCs w:val="20"/>
                <w:color w:val="auto"/>
              </w:rPr>
            </w:pPr>
            <w:r>
              <w:rPr>
                <w:rFonts w:ascii="Arial" w:cs="Arial" w:eastAsia="Arial" w:hAnsi="Arial"/>
                <w:sz w:val="12"/>
                <w:szCs w:val="12"/>
                <w:b w:val="1"/>
                <w:bCs w:val="1"/>
                <w:color w:val="3C3C3B"/>
              </w:rPr>
              <w:t>Contracted</w:t>
            </w:r>
          </w:p>
        </w:tc>
        <w:tc>
          <w:tcPr>
            <w:tcW w:w="1320" w:type="dxa"/>
            <w:vAlign w:val="bottom"/>
          </w:tcPr>
          <w:p>
            <w:pPr>
              <w:jc w:val="right"/>
              <w:ind w:right="478"/>
              <w:spacing w:after="0"/>
              <w:rPr>
                <w:sz w:val="20"/>
                <w:szCs w:val="20"/>
                <w:color w:val="auto"/>
              </w:rPr>
            </w:pPr>
            <w:r>
              <w:rPr>
                <w:rFonts w:ascii="Arial" w:cs="Arial" w:eastAsia="Arial" w:hAnsi="Arial"/>
                <w:sz w:val="12"/>
                <w:szCs w:val="12"/>
                <w:b w:val="1"/>
                <w:bCs w:val="1"/>
                <w:color w:val="3C3C3B"/>
              </w:rPr>
              <w:t>Employee</w:t>
            </w:r>
          </w:p>
        </w:tc>
        <w:tc>
          <w:tcPr>
            <w:tcW w:w="1160" w:type="dxa"/>
            <w:vAlign w:val="bottom"/>
          </w:tcPr>
          <w:p>
            <w:pPr>
              <w:jc w:val="right"/>
              <w:ind w:right="258"/>
              <w:spacing w:after="0"/>
              <w:rPr>
                <w:sz w:val="20"/>
                <w:szCs w:val="20"/>
                <w:color w:val="auto"/>
              </w:rPr>
            </w:pPr>
            <w:r>
              <w:rPr>
                <w:rFonts w:ascii="Arial" w:cs="Arial" w:eastAsia="Arial" w:hAnsi="Arial"/>
                <w:sz w:val="12"/>
                <w:szCs w:val="12"/>
                <w:b w:val="1"/>
                <w:bCs w:val="1"/>
                <w:color w:val="3C3C3B"/>
              </w:rPr>
              <w:t>Other</w:t>
            </w:r>
          </w:p>
        </w:tc>
        <w:tc>
          <w:tcPr>
            <w:tcW w:w="1420" w:type="dxa"/>
            <w:vAlign w:val="bottom"/>
          </w:tcPr>
          <w:p>
            <w:pPr>
              <w:jc w:val="right"/>
              <w:ind w:right="298"/>
              <w:spacing w:after="0"/>
              <w:rPr>
                <w:sz w:val="20"/>
                <w:szCs w:val="20"/>
                <w:color w:val="auto"/>
              </w:rPr>
            </w:pPr>
            <w:r>
              <w:rPr>
                <w:rFonts w:ascii="Arial" w:cs="Arial" w:eastAsia="Arial" w:hAnsi="Arial"/>
                <w:sz w:val="12"/>
                <w:szCs w:val="12"/>
                <w:b w:val="1"/>
                <w:bCs w:val="1"/>
                <w:color w:val="3C3C3B"/>
              </w:rPr>
              <w:t>Depreciation,</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3C3C3B"/>
              </w:rPr>
              <w:t>Gain /</w:t>
            </w:r>
          </w:p>
        </w:tc>
        <w:tc>
          <w:tcPr>
            <w:tcW w:w="0" w:type="dxa"/>
            <w:vAlign w:val="bottom"/>
          </w:tcPr>
          <w:p>
            <w:pPr>
              <w:spacing w:after="0"/>
              <w:rPr>
                <w:sz w:val="1"/>
                <w:szCs w:val="1"/>
                <w:color w:val="auto"/>
              </w:rPr>
            </w:pPr>
          </w:p>
        </w:tc>
      </w:tr>
      <w:tr>
        <w:trPr>
          <w:trHeight w:val="199"/>
        </w:trPr>
        <w:tc>
          <w:tcPr>
            <w:tcW w:w="2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218"/>
              <w:spacing w:after="0"/>
              <w:rPr>
                <w:sz w:val="20"/>
                <w:szCs w:val="20"/>
                <w:color w:val="auto"/>
              </w:rPr>
            </w:pPr>
            <w:r>
              <w:rPr>
                <w:rFonts w:ascii="Arial" w:cs="Arial" w:eastAsia="Arial" w:hAnsi="Arial"/>
                <w:sz w:val="12"/>
                <w:szCs w:val="12"/>
                <w:b w:val="1"/>
                <w:bCs w:val="1"/>
                <w:color w:val="3C3C3B"/>
              </w:rPr>
              <w:t>materials</w:t>
            </w:r>
          </w:p>
        </w:tc>
        <w:tc>
          <w:tcPr>
            <w:tcW w:w="1320" w:type="dxa"/>
            <w:vAlign w:val="bottom"/>
          </w:tcPr>
          <w:p>
            <w:pPr>
              <w:jc w:val="right"/>
              <w:ind w:right="238"/>
              <w:spacing w:after="0"/>
              <w:rPr>
                <w:sz w:val="20"/>
                <w:szCs w:val="20"/>
                <w:color w:val="auto"/>
              </w:rPr>
            </w:pPr>
            <w:r>
              <w:rPr>
                <w:rFonts w:ascii="Arial" w:cs="Arial" w:eastAsia="Arial" w:hAnsi="Arial"/>
                <w:sz w:val="12"/>
                <w:szCs w:val="12"/>
                <w:b w:val="1"/>
                <w:bCs w:val="1"/>
                <w:color w:val="3C3C3B"/>
              </w:rPr>
              <w:t>research and</w:t>
            </w:r>
          </w:p>
        </w:tc>
        <w:tc>
          <w:tcPr>
            <w:tcW w:w="1320" w:type="dxa"/>
            <w:vAlign w:val="bottom"/>
          </w:tcPr>
          <w:p>
            <w:pPr>
              <w:jc w:val="right"/>
              <w:ind w:right="478"/>
              <w:spacing w:after="0"/>
              <w:rPr>
                <w:sz w:val="20"/>
                <w:szCs w:val="20"/>
                <w:color w:val="auto"/>
              </w:rPr>
            </w:pPr>
            <w:r>
              <w:rPr>
                <w:rFonts w:ascii="Arial" w:cs="Arial" w:eastAsia="Arial" w:hAnsi="Arial"/>
                <w:sz w:val="12"/>
                <w:szCs w:val="12"/>
                <w:b w:val="1"/>
                <w:bCs w:val="1"/>
                <w:color w:val="3C3C3B"/>
              </w:rPr>
              <w:t>expenses</w:t>
            </w:r>
          </w:p>
        </w:tc>
        <w:tc>
          <w:tcPr>
            <w:tcW w:w="1160" w:type="dxa"/>
            <w:vAlign w:val="bottom"/>
          </w:tcPr>
          <w:p>
            <w:pPr>
              <w:jc w:val="right"/>
              <w:ind w:right="258"/>
              <w:spacing w:after="0"/>
              <w:rPr>
                <w:sz w:val="20"/>
                <w:szCs w:val="20"/>
                <w:color w:val="auto"/>
              </w:rPr>
            </w:pPr>
            <w:r>
              <w:rPr>
                <w:rFonts w:ascii="Arial" w:cs="Arial" w:eastAsia="Arial" w:hAnsi="Arial"/>
                <w:sz w:val="12"/>
                <w:szCs w:val="12"/>
                <w:b w:val="1"/>
                <w:bCs w:val="1"/>
                <w:color w:val="3C3C3B"/>
              </w:rPr>
              <w:t>expenses</w:t>
            </w:r>
          </w:p>
        </w:tc>
        <w:tc>
          <w:tcPr>
            <w:tcW w:w="1420" w:type="dxa"/>
            <w:vAlign w:val="bottom"/>
          </w:tcPr>
          <w:p>
            <w:pPr>
              <w:jc w:val="right"/>
              <w:ind w:right="298"/>
              <w:spacing w:after="0"/>
              <w:rPr>
                <w:sz w:val="20"/>
                <w:szCs w:val="20"/>
                <w:color w:val="auto"/>
              </w:rPr>
            </w:pPr>
            <w:r>
              <w:rPr>
                <w:rFonts w:ascii="Arial" w:cs="Arial" w:eastAsia="Arial" w:hAnsi="Arial"/>
                <w:sz w:val="12"/>
                <w:szCs w:val="12"/>
                <w:b w:val="1"/>
                <w:bCs w:val="1"/>
                <w:color w:val="3C3C3B"/>
              </w:rPr>
              <w:t>amortization</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3C3C3B"/>
              </w:rPr>
              <w:t>(loss) on</w:t>
            </w:r>
          </w:p>
        </w:tc>
        <w:tc>
          <w:tcPr>
            <w:tcW w:w="0" w:type="dxa"/>
            <w:vAlign w:val="bottom"/>
          </w:tcPr>
          <w:p>
            <w:pPr>
              <w:spacing w:after="0"/>
              <w:rPr>
                <w:sz w:val="1"/>
                <w:szCs w:val="1"/>
                <w:color w:val="auto"/>
              </w:rPr>
            </w:pPr>
          </w:p>
        </w:tc>
      </w:tr>
      <w:tr>
        <w:trPr>
          <w:trHeight w:val="199"/>
        </w:trPr>
        <w:tc>
          <w:tcPr>
            <w:tcW w:w="2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218"/>
              <w:spacing w:after="0"/>
              <w:rPr>
                <w:sz w:val="20"/>
                <w:szCs w:val="20"/>
                <w:color w:val="auto"/>
              </w:rPr>
            </w:pPr>
            <w:r>
              <w:rPr>
                <w:rFonts w:ascii="Arial" w:cs="Arial" w:eastAsia="Arial" w:hAnsi="Arial"/>
                <w:sz w:val="12"/>
                <w:szCs w:val="12"/>
                <w:b w:val="1"/>
                <w:bCs w:val="1"/>
                <w:color w:val="3C3C3B"/>
              </w:rPr>
              <w:t>and</w:t>
            </w:r>
          </w:p>
        </w:tc>
        <w:tc>
          <w:tcPr>
            <w:tcW w:w="1320" w:type="dxa"/>
            <w:vAlign w:val="bottom"/>
          </w:tcPr>
          <w:p>
            <w:pPr>
              <w:jc w:val="right"/>
              <w:ind w:right="238"/>
              <w:spacing w:after="0"/>
              <w:rPr>
                <w:sz w:val="20"/>
                <w:szCs w:val="20"/>
                <w:color w:val="auto"/>
              </w:rPr>
            </w:pPr>
            <w:r>
              <w:rPr>
                <w:rFonts w:ascii="Arial" w:cs="Arial" w:eastAsia="Arial" w:hAnsi="Arial"/>
                <w:sz w:val="12"/>
                <w:szCs w:val="12"/>
                <w:b w:val="1"/>
                <w:bCs w:val="1"/>
                <w:color w:val="3C3C3B"/>
              </w:rPr>
              <w:t>development</w:t>
            </w:r>
          </w:p>
        </w:tc>
        <w:tc>
          <w:tcPr>
            <w:tcW w:w="1320" w:type="dxa"/>
            <w:vAlign w:val="bottom"/>
          </w:tcPr>
          <w:p>
            <w:pPr>
              <w:spacing w:after="0"/>
              <w:rPr>
                <w:sz w:val="17"/>
                <w:szCs w:val="17"/>
                <w:color w:val="auto"/>
              </w:rPr>
            </w:pPr>
          </w:p>
        </w:tc>
        <w:tc>
          <w:tcPr>
            <w:tcW w:w="1160" w:type="dxa"/>
            <w:vAlign w:val="bottom"/>
          </w:tcPr>
          <w:p>
            <w:pPr>
              <w:jc w:val="right"/>
              <w:ind w:right="258"/>
              <w:spacing w:after="0"/>
              <w:rPr>
                <w:sz w:val="20"/>
                <w:szCs w:val="20"/>
                <w:color w:val="auto"/>
              </w:rPr>
            </w:pPr>
            <w:r>
              <w:rPr>
                <w:rFonts w:ascii="Arial" w:cs="Arial" w:eastAsia="Arial" w:hAnsi="Arial"/>
                <w:sz w:val="12"/>
                <w:szCs w:val="12"/>
                <w:b w:val="1"/>
                <w:bCs w:val="1"/>
                <w:color w:val="3C3C3B"/>
              </w:rPr>
              <w:t>(maintenance,</w:t>
            </w:r>
          </w:p>
        </w:tc>
        <w:tc>
          <w:tcPr>
            <w:tcW w:w="1420" w:type="dxa"/>
            <w:vAlign w:val="bottom"/>
          </w:tcPr>
          <w:p>
            <w:pPr>
              <w:jc w:val="right"/>
              <w:ind w:right="298"/>
              <w:spacing w:after="0"/>
              <w:rPr>
                <w:sz w:val="20"/>
                <w:szCs w:val="20"/>
                <w:color w:val="auto"/>
              </w:rPr>
            </w:pPr>
            <w:r>
              <w:rPr>
                <w:rFonts w:ascii="Arial" w:cs="Arial" w:eastAsia="Arial" w:hAnsi="Arial"/>
                <w:sz w:val="12"/>
                <w:szCs w:val="12"/>
                <w:b w:val="1"/>
                <w:bCs w:val="1"/>
                <w:color w:val="3C3C3B"/>
              </w:rPr>
              <w:t>and</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3C3C3B"/>
              </w:rPr>
              <w:t>disposal of</w:t>
            </w:r>
          </w:p>
        </w:tc>
        <w:tc>
          <w:tcPr>
            <w:tcW w:w="0" w:type="dxa"/>
            <w:vAlign w:val="bottom"/>
          </w:tcPr>
          <w:p>
            <w:pPr>
              <w:spacing w:after="0"/>
              <w:rPr>
                <w:sz w:val="1"/>
                <w:szCs w:val="1"/>
                <w:color w:val="auto"/>
              </w:rPr>
            </w:pPr>
          </w:p>
        </w:tc>
      </w:tr>
      <w:tr>
        <w:trPr>
          <w:trHeight w:val="199"/>
        </w:trPr>
        <w:tc>
          <w:tcPr>
            <w:tcW w:w="2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218"/>
              <w:spacing w:after="0"/>
              <w:rPr>
                <w:sz w:val="20"/>
                <w:szCs w:val="20"/>
                <w:color w:val="auto"/>
              </w:rPr>
            </w:pPr>
            <w:r>
              <w:rPr>
                <w:rFonts w:ascii="Arial" w:cs="Arial" w:eastAsia="Arial" w:hAnsi="Arial"/>
                <w:sz w:val="12"/>
                <w:szCs w:val="12"/>
                <w:b w:val="1"/>
                <w:bCs w:val="1"/>
                <w:color w:val="3C3C3B"/>
              </w:rPr>
              <w:t>consumables</w:t>
            </w:r>
          </w:p>
        </w:tc>
        <w:tc>
          <w:tcPr>
            <w:tcW w:w="1320" w:type="dxa"/>
            <w:vAlign w:val="bottom"/>
          </w:tcPr>
          <w:p>
            <w:pPr>
              <w:jc w:val="right"/>
              <w:ind w:right="238"/>
              <w:spacing w:after="0"/>
              <w:rPr>
                <w:sz w:val="20"/>
                <w:szCs w:val="20"/>
                <w:color w:val="auto"/>
              </w:rPr>
            </w:pPr>
            <w:r>
              <w:rPr>
                <w:rFonts w:ascii="Arial" w:cs="Arial" w:eastAsia="Arial" w:hAnsi="Arial"/>
                <w:sz w:val="12"/>
                <w:szCs w:val="12"/>
                <w:b w:val="1"/>
                <w:bCs w:val="1"/>
                <w:color w:val="3C3C3B"/>
              </w:rPr>
              <w:t>activities</w:t>
            </w:r>
          </w:p>
        </w:tc>
        <w:tc>
          <w:tcPr>
            <w:tcW w:w="1320" w:type="dxa"/>
            <w:vAlign w:val="bottom"/>
          </w:tcPr>
          <w:p>
            <w:pPr>
              <w:spacing w:after="0"/>
              <w:rPr>
                <w:sz w:val="17"/>
                <w:szCs w:val="17"/>
                <w:color w:val="auto"/>
              </w:rPr>
            </w:pPr>
          </w:p>
        </w:tc>
        <w:tc>
          <w:tcPr>
            <w:tcW w:w="1160" w:type="dxa"/>
            <w:vAlign w:val="bottom"/>
          </w:tcPr>
          <w:p>
            <w:pPr>
              <w:jc w:val="right"/>
              <w:ind w:right="258"/>
              <w:spacing w:after="0"/>
              <w:rPr>
                <w:sz w:val="20"/>
                <w:szCs w:val="20"/>
                <w:color w:val="auto"/>
              </w:rPr>
            </w:pPr>
            <w:r>
              <w:rPr>
                <w:rFonts w:ascii="Arial" w:cs="Arial" w:eastAsia="Arial" w:hAnsi="Arial"/>
                <w:sz w:val="12"/>
                <w:szCs w:val="12"/>
                <w:b w:val="1"/>
                <w:bCs w:val="1"/>
                <w:color w:val="3C3C3B"/>
              </w:rPr>
              <w:t>fees, travel,</w:t>
            </w:r>
          </w:p>
        </w:tc>
        <w:tc>
          <w:tcPr>
            <w:tcW w:w="1420" w:type="dxa"/>
            <w:vAlign w:val="bottom"/>
          </w:tcPr>
          <w:p>
            <w:pPr>
              <w:jc w:val="right"/>
              <w:ind w:right="298"/>
              <w:spacing w:after="0"/>
              <w:rPr>
                <w:sz w:val="20"/>
                <w:szCs w:val="20"/>
                <w:color w:val="auto"/>
              </w:rPr>
            </w:pPr>
            <w:r>
              <w:rPr>
                <w:rFonts w:ascii="Arial" w:cs="Arial" w:eastAsia="Arial" w:hAnsi="Arial"/>
                <w:sz w:val="12"/>
                <w:szCs w:val="12"/>
                <w:b w:val="1"/>
                <w:bCs w:val="1"/>
                <w:color w:val="3C3C3B"/>
              </w:rPr>
              <w:t>impairment</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3C3C3B"/>
              </w:rPr>
              <w:t>property,</w:t>
            </w:r>
          </w:p>
        </w:tc>
        <w:tc>
          <w:tcPr>
            <w:tcW w:w="0" w:type="dxa"/>
            <w:vAlign w:val="bottom"/>
          </w:tcPr>
          <w:p>
            <w:pPr>
              <w:spacing w:after="0"/>
              <w:rPr>
                <w:sz w:val="1"/>
                <w:szCs w:val="1"/>
                <w:color w:val="auto"/>
              </w:rPr>
            </w:pPr>
          </w:p>
        </w:tc>
      </w:tr>
      <w:tr>
        <w:trPr>
          <w:trHeight w:val="199"/>
        </w:trPr>
        <w:tc>
          <w:tcPr>
            <w:tcW w:w="2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218"/>
              <w:spacing w:after="0"/>
              <w:rPr>
                <w:sz w:val="20"/>
                <w:szCs w:val="20"/>
                <w:color w:val="auto"/>
              </w:rPr>
            </w:pPr>
            <w:r>
              <w:rPr>
                <w:rFonts w:ascii="Arial" w:cs="Arial" w:eastAsia="Arial" w:hAnsi="Arial"/>
                <w:sz w:val="12"/>
                <w:szCs w:val="12"/>
                <w:b w:val="1"/>
                <w:bCs w:val="1"/>
                <w:color w:val="3C3C3B"/>
              </w:rPr>
              <w:t>used</w:t>
            </w:r>
          </w:p>
        </w:tc>
        <w:tc>
          <w:tcPr>
            <w:tcW w:w="1320" w:type="dxa"/>
            <w:vAlign w:val="bottom"/>
          </w:tcPr>
          <w:p>
            <w:pPr>
              <w:jc w:val="right"/>
              <w:ind w:right="238"/>
              <w:spacing w:after="0"/>
              <w:rPr>
                <w:sz w:val="20"/>
                <w:szCs w:val="20"/>
                <w:color w:val="auto"/>
              </w:rPr>
            </w:pPr>
            <w:r>
              <w:rPr>
                <w:rFonts w:ascii="Arial" w:cs="Arial" w:eastAsia="Arial" w:hAnsi="Arial"/>
                <w:sz w:val="12"/>
                <w:szCs w:val="12"/>
                <w:b w:val="1"/>
                <w:bCs w:val="1"/>
                <w:color w:val="3C3C3B"/>
              </w:rPr>
              <w:t>conducted by</w:t>
            </w:r>
          </w:p>
        </w:tc>
        <w:tc>
          <w:tcPr>
            <w:tcW w:w="1320" w:type="dxa"/>
            <w:vAlign w:val="bottom"/>
          </w:tcPr>
          <w:p>
            <w:pPr>
              <w:spacing w:after="0"/>
              <w:rPr>
                <w:sz w:val="17"/>
                <w:szCs w:val="17"/>
                <w:color w:val="auto"/>
              </w:rPr>
            </w:pPr>
          </w:p>
        </w:tc>
        <w:tc>
          <w:tcPr>
            <w:tcW w:w="1160" w:type="dxa"/>
            <w:vAlign w:val="bottom"/>
          </w:tcPr>
          <w:p>
            <w:pPr>
              <w:jc w:val="right"/>
              <w:ind w:right="258"/>
              <w:spacing w:after="0"/>
              <w:rPr>
                <w:sz w:val="20"/>
                <w:szCs w:val="20"/>
                <w:color w:val="auto"/>
              </w:rPr>
            </w:pPr>
            <w:r>
              <w:rPr>
                <w:rFonts w:ascii="Arial" w:cs="Arial" w:eastAsia="Arial" w:hAnsi="Arial"/>
                <w:sz w:val="12"/>
                <w:szCs w:val="12"/>
                <w:b w:val="1"/>
                <w:bCs w:val="1"/>
                <w:color w:val="3C3C3B"/>
              </w:rPr>
              <w:t>taxes…)</w:t>
            </w:r>
          </w:p>
        </w:tc>
        <w:tc>
          <w:tcPr>
            <w:tcW w:w="1420" w:type="dxa"/>
            <w:vAlign w:val="bottom"/>
          </w:tcPr>
          <w:p>
            <w:pPr>
              <w:jc w:val="right"/>
              <w:ind w:right="298"/>
              <w:spacing w:after="0"/>
              <w:rPr>
                <w:sz w:val="20"/>
                <w:szCs w:val="20"/>
                <w:color w:val="auto"/>
              </w:rPr>
            </w:pPr>
            <w:r>
              <w:rPr>
                <w:rFonts w:ascii="Arial" w:cs="Arial" w:eastAsia="Arial" w:hAnsi="Arial"/>
                <w:sz w:val="12"/>
                <w:szCs w:val="12"/>
                <w:b w:val="1"/>
                <w:bCs w:val="1"/>
                <w:color w:val="3C3C3B"/>
              </w:rPr>
              <w:t>charges</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3C3C3B"/>
              </w:rPr>
              <w:t>plant and</w:t>
            </w:r>
          </w:p>
        </w:tc>
        <w:tc>
          <w:tcPr>
            <w:tcW w:w="0" w:type="dxa"/>
            <w:vAlign w:val="bottom"/>
          </w:tcPr>
          <w:p>
            <w:pPr>
              <w:spacing w:after="0"/>
              <w:rPr>
                <w:sz w:val="1"/>
                <w:szCs w:val="1"/>
                <w:color w:val="auto"/>
              </w:rPr>
            </w:pPr>
          </w:p>
        </w:tc>
      </w:tr>
      <w:tr>
        <w:trPr>
          <w:trHeight w:val="199"/>
        </w:trPr>
        <w:tc>
          <w:tcPr>
            <w:tcW w:w="246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jc w:val="right"/>
              <w:ind w:right="238"/>
              <w:spacing w:after="0"/>
              <w:rPr>
                <w:sz w:val="20"/>
                <w:szCs w:val="20"/>
                <w:color w:val="auto"/>
              </w:rPr>
            </w:pPr>
            <w:r>
              <w:rPr>
                <w:rFonts w:ascii="Arial" w:cs="Arial" w:eastAsia="Arial" w:hAnsi="Arial"/>
                <w:sz w:val="12"/>
                <w:szCs w:val="12"/>
                <w:b w:val="1"/>
                <w:bCs w:val="1"/>
                <w:color w:val="3C3C3B"/>
              </w:rPr>
              <w:t>third parties</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3C3C3B"/>
              </w:rPr>
              <w:t>equipment</w:t>
            </w:r>
          </w:p>
        </w:tc>
        <w:tc>
          <w:tcPr>
            <w:tcW w:w="0" w:type="dxa"/>
            <w:vAlign w:val="bottom"/>
          </w:tcPr>
          <w:p>
            <w:pPr>
              <w:spacing w:after="0"/>
              <w:rPr>
                <w:sz w:val="1"/>
                <w:szCs w:val="1"/>
                <w:color w:val="auto"/>
              </w:rPr>
            </w:pP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24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Research and development expenses</w:t>
            </w:r>
          </w:p>
        </w:tc>
        <w:tc>
          <w:tcPr>
            <w:tcW w:w="106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(18,984)</w:t>
            </w:r>
          </w:p>
        </w:tc>
        <w:tc>
          <w:tcPr>
            <w:tcW w:w="120" w:type="dxa"/>
            <w:vAlign w:val="bottom"/>
            <w:tcBorders>
              <w:bottom w:val="single" w:sz="8" w:color="FDF5E7"/>
            </w:tcBorders>
            <w:shd w:val="clear" w:color="auto" w:fill="FDF5E7"/>
          </w:tcPr>
          <w:p>
            <w:pPr>
              <w:spacing w:after="0"/>
              <w:rPr>
                <w:sz w:val="14"/>
                <w:szCs w:val="14"/>
                <w:color w:val="auto"/>
              </w:rPr>
            </w:pPr>
          </w:p>
        </w:tc>
        <w:tc>
          <w:tcPr>
            <w:tcW w:w="1440" w:type="dxa"/>
            <w:vAlign w:val="bottom"/>
            <w:tcBorders>
              <w:bottom w:val="single" w:sz="8" w:color="FDF5E7"/>
            </w:tcBorders>
            <w:shd w:val="clear" w:color="auto" w:fill="FDF5E7"/>
          </w:tcPr>
          <w:p>
            <w:pPr>
              <w:jc w:val="right"/>
              <w:ind w:right="238"/>
              <w:spacing w:after="0"/>
              <w:rPr>
                <w:sz w:val="20"/>
                <w:szCs w:val="20"/>
                <w:color w:val="auto"/>
              </w:rPr>
            </w:pPr>
            <w:r>
              <w:rPr>
                <w:rFonts w:ascii="Arial" w:cs="Arial" w:eastAsia="Arial" w:hAnsi="Arial"/>
                <w:sz w:val="12"/>
                <w:szCs w:val="12"/>
                <w:color w:val="auto"/>
              </w:rPr>
              <w:t>(1,056)</w:t>
            </w:r>
          </w:p>
        </w:tc>
        <w:tc>
          <w:tcPr>
            <w:tcW w:w="132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(7,838)</w:t>
            </w:r>
          </w:p>
        </w:tc>
        <w:tc>
          <w:tcPr>
            <w:tcW w:w="1320" w:type="dxa"/>
            <w:vAlign w:val="bottom"/>
            <w:tcBorders>
              <w:bottom w:val="single" w:sz="8" w:color="FDF5E7"/>
            </w:tcBorders>
            <w:shd w:val="clear" w:color="auto" w:fill="FDF5E7"/>
          </w:tcPr>
          <w:p>
            <w:pPr>
              <w:jc w:val="right"/>
              <w:ind w:right="498"/>
              <w:spacing w:after="0"/>
              <w:rPr>
                <w:sz w:val="20"/>
                <w:szCs w:val="20"/>
                <w:color w:val="auto"/>
              </w:rPr>
            </w:pPr>
            <w:r>
              <w:rPr>
                <w:rFonts w:ascii="Arial" w:cs="Arial" w:eastAsia="Arial" w:hAnsi="Arial"/>
                <w:sz w:val="12"/>
                <w:szCs w:val="12"/>
                <w:color w:val="auto"/>
              </w:rPr>
              <w:t>(6,610)</w:t>
            </w:r>
          </w:p>
        </w:tc>
        <w:tc>
          <w:tcPr>
            <w:tcW w:w="116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(2,806)</w:t>
            </w:r>
          </w:p>
        </w:tc>
        <w:tc>
          <w:tcPr>
            <w:tcW w:w="1420" w:type="dxa"/>
            <w:vAlign w:val="bottom"/>
            <w:tcBorders>
              <w:bottom w:val="single" w:sz="8" w:color="FDF5E7"/>
            </w:tcBorders>
            <w:shd w:val="clear" w:color="auto" w:fill="FDF5E7"/>
          </w:tcPr>
          <w:p>
            <w:pPr>
              <w:jc w:val="right"/>
              <w:ind w:right="298"/>
              <w:spacing w:after="0"/>
              <w:rPr>
                <w:sz w:val="20"/>
                <w:szCs w:val="20"/>
                <w:color w:val="auto"/>
              </w:rPr>
            </w:pPr>
            <w:r>
              <w:rPr>
                <w:rFonts w:ascii="Arial" w:cs="Arial" w:eastAsia="Arial" w:hAnsi="Arial"/>
                <w:sz w:val="12"/>
                <w:szCs w:val="12"/>
                <w:color w:val="auto"/>
              </w:rPr>
              <w:t>(675)</w:t>
            </w:r>
          </w:p>
        </w:tc>
        <w:tc>
          <w:tcPr>
            <w:tcW w:w="9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460" w:type="dxa"/>
            <w:vAlign w:val="bottom"/>
          </w:tcPr>
          <w:p>
            <w:pPr>
              <w:ind w:left="20"/>
              <w:spacing w:after="0"/>
              <w:rPr>
                <w:sz w:val="20"/>
                <w:szCs w:val="20"/>
                <w:color w:val="auto"/>
              </w:rPr>
            </w:pPr>
            <w:r>
              <w:rPr>
                <w:rFonts w:ascii="Arial" w:cs="Arial" w:eastAsia="Arial" w:hAnsi="Arial"/>
                <w:sz w:val="12"/>
                <w:szCs w:val="12"/>
                <w:color w:val="3C3C3B"/>
              </w:rPr>
              <w:t>General and administrative expenses</w:t>
            </w:r>
          </w:p>
        </w:tc>
        <w:tc>
          <w:tcPr>
            <w:tcW w:w="1060" w:type="dxa"/>
            <w:vAlign w:val="bottom"/>
          </w:tcPr>
          <w:p>
            <w:pPr>
              <w:jc w:val="right"/>
              <w:spacing w:after="0"/>
              <w:rPr>
                <w:sz w:val="20"/>
                <w:szCs w:val="20"/>
                <w:color w:val="auto"/>
              </w:rPr>
            </w:pPr>
            <w:r>
              <w:rPr>
                <w:rFonts w:ascii="Arial" w:cs="Arial" w:eastAsia="Arial" w:hAnsi="Arial"/>
                <w:sz w:val="12"/>
                <w:szCs w:val="12"/>
                <w:color w:val="auto"/>
              </w:rPr>
              <w:t>(10,564)</w:t>
            </w:r>
          </w:p>
        </w:tc>
        <w:tc>
          <w:tcPr>
            <w:tcW w:w="120" w:type="dxa"/>
            <w:vAlign w:val="bottom"/>
          </w:tcPr>
          <w:p>
            <w:pPr>
              <w:spacing w:after="0"/>
              <w:rPr>
                <w:sz w:val="15"/>
                <w:szCs w:val="15"/>
                <w:color w:val="auto"/>
              </w:rPr>
            </w:pPr>
          </w:p>
        </w:tc>
        <w:tc>
          <w:tcPr>
            <w:tcW w:w="1440" w:type="dxa"/>
            <w:vAlign w:val="bottom"/>
          </w:tcPr>
          <w:p>
            <w:pPr>
              <w:jc w:val="right"/>
              <w:ind w:right="238"/>
              <w:spacing w:after="0"/>
              <w:rPr>
                <w:sz w:val="20"/>
                <w:szCs w:val="20"/>
                <w:color w:val="auto"/>
              </w:rPr>
            </w:pPr>
            <w:r>
              <w:rPr>
                <w:rFonts w:ascii="Arial" w:cs="Arial" w:eastAsia="Arial" w:hAnsi="Arial"/>
                <w:sz w:val="12"/>
                <w:szCs w:val="12"/>
                <w:color w:val="auto"/>
              </w:rPr>
              <w:t>(152)</w:t>
            </w:r>
          </w:p>
        </w:tc>
        <w:tc>
          <w:tcPr>
            <w:tcW w:w="1320" w:type="dxa"/>
            <w:vAlign w:val="bottom"/>
          </w:tcPr>
          <w:p>
            <w:pPr>
              <w:jc w:val="right"/>
              <w:ind w:right="258"/>
              <w:spacing w:after="0"/>
              <w:rPr>
                <w:sz w:val="20"/>
                <w:szCs w:val="20"/>
                <w:color w:val="auto"/>
              </w:rPr>
            </w:pPr>
            <w:r>
              <w:rPr>
                <w:rFonts w:ascii="Arial" w:cs="Arial" w:eastAsia="Arial" w:hAnsi="Arial"/>
                <w:sz w:val="12"/>
                <w:szCs w:val="12"/>
                <w:color w:val="auto"/>
              </w:rPr>
              <w:t>(69)</w:t>
            </w:r>
          </w:p>
        </w:tc>
        <w:tc>
          <w:tcPr>
            <w:tcW w:w="1320" w:type="dxa"/>
            <w:vAlign w:val="bottom"/>
          </w:tcPr>
          <w:p>
            <w:pPr>
              <w:jc w:val="right"/>
              <w:ind w:right="498"/>
              <w:spacing w:after="0"/>
              <w:rPr>
                <w:sz w:val="20"/>
                <w:szCs w:val="20"/>
                <w:color w:val="auto"/>
              </w:rPr>
            </w:pPr>
            <w:r>
              <w:rPr>
                <w:rFonts w:ascii="Arial" w:cs="Arial" w:eastAsia="Arial" w:hAnsi="Arial"/>
                <w:sz w:val="12"/>
                <w:szCs w:val="12"/>
                <w:color w:val="auto"/>
              </w:rPr>
              <w:t>(4,380)</w:t>
            </w:r>
          </w:p>
        </w:tc>
        <w:tc>
          <w:tcPr>
            <w:tcW w:w="1160" w:type="dxa"/>
            <w:vAlign w:val="bottom"/>
          </w:tcPr>
          <w:p>
            <w:pPr>
              <w:jc w:val="right"/>
              <w:ind w:right="258"/>
              <w:spacing w:after="0"/>
              <w:rPr>
                <w:sz w:val="20"/>
                <w:szCs w:val="20"/>
                <w:color w:val="auto"/>
              </w:rPr>
            </w:pPr>
            <w:r>
              <w:rPr>
                <w:rFonts w:ascii="Arial" w:cs="Arial" w:eastAsia="Arial" w:hAnsi="Arial"/>
                <w:sz w:val="12"/>
                <w:szCs w:val="12"/>
                <w:color w:val="auto"/>
              </w:rPr>
              <w:t>(5,778)</w:t>
            </w:r>
          </w:p>
        </w:tc>
        <w:tc>
          <w:tcPr>
            <w:tcW w:w="1420" w:type="dxa"/>
            <w:vAlign w:val="bottom"/>
          </w:tcPr>
          <w:p>
            <w:pPr>
              <w:jc w:val="right"/>
              <w:ind w:right="298"/>
              <w:spacing w:after="0"/>
              <w:rPr>
                <w:sz w:val="20"/>
                <w:szCs w:val="20"/>
                <w:color w:val="auto"/>
              </w:rPr>
            </w:pPr>
            <w:r>
              <w:rPr>
                <w:rFonts w:ascii="Arial" w:cs="Arial" w:eastAsia="Arial" w:hAnsi="Arial"/>
                <w:sz w:val="12"/>
                <w:szCs w:val="12"/>
                <w:color w:val="auto"/>
              </w:rPr>
              <w:t>(185)</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4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Marketing and market access expenses</w:t>
            </w:r>
          </w:p>
        </w:tc>
        <w:tc>
          <w:tcPr>
            <w:tcW w:w="106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(390)</w:t>
            </w:r>
          </w:p>
        </w:tc>
        <w:tc>
          <w:tcPr>
            <w:tcW w:w="120" w:type="dxa"/>
            <w:vAlign w:val="bottom"/>
            <w:tcBorders>
              <w:bottom w:val="single" w:sz="8" w:color="FDF5E7"/>
            </w:tcBorders>
            <w:shd w:val="clear" w:color="auto" w:fill="FDF5E7"/>
          </w:tcPr>
          <w:p>
            <w:pPr>
              <w:spacing w:after="0"/>
              <w:rPr>
                <w:sz w:val="15"/>
                <w:szCs w:val="15"/>
                <w:color w:val="auto"/>
              </w:rPr>
            </w:pPr>
          </w:p>
        </w:tc>
        <w:tc>
          <w:tcPr>
            <w:tcW w:w="1440" w:type="dxa"/>
            <w:vAlign w:val="bottom"/>
            <w:tcBorders>
              <w:bottom w:val="single" w:sz="8" w:color="FDF5E7"/>
            </w:tcBorders>
            <w:shd w:val="clear" w:color="auto" w:fill="FDF5E7"/>
          </w:tcPr>
          <w:p>
            <w:pPr>
              <w:jc w:val="right"/>
              <w:ind w:right="238"/>
              <w:spacing w:after="0"/>
              <w:rPr>
                <w:sz w:val="20"/>
                <w:szCs w:val="20"/>
                <w:color w:val="auto"/>
              </w:rPr>
            </w:pPr>
            <w:r>
              <w:rPr>
                <w:rFonts w:ascii="Arial" w:cs="Arial" w:eastAsia="Arial" w:hAnsi="Arial"/>
                <w:sz w:val="12"/>
                <w:szCs w:val="12"/>
                <w:color w:val="auto"/>
              </w:rPr>
              <w:t>(2)</w:t>
            </w:r>
          </w:p>
        </w:tc>
        <w:tc>
          <w:tcPr>
            <w:tcW w:w="1320" w:type="dxa"/>
            <w:vAlign w:val="bottom"/>
            <w:tcBorders>
              <w:bottom w:val="single" w:sz="8" w:color="FDF5E7"/>
            </w:tcBorders>
            <w:shd w:val="clear" w:color="auto" w:fill="FDF5E7"/>
          </w:tcPr>
          <w:p>
            <w:pPr>
              <w:jc w:val="right"/>
              <w:ind w:right="278"/>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FDF5E7"/>
            </w:tcBorders>
            <w:shd w:val="clear" w:color="auto" w:fill="FDF5E7"/>
          </w:tcPr>
          <w:p>
            <w:pPr>
              <w:jc w:val="right"/>
              <w:ind w:right="498"/>
              <w:spacing w:after="0"/>
              <w:rPr>
                <w:sz w:val="20"/>
                <w:szCs w:val="20"/>
                <w:color w:val="auto"/>
              </w:rPr>
            </w:pPr>
            <w:r>
              <w:rPr>
                <w:rFonts w:ascii="Arial" w:cs="Arial" w:eastAsia="Arial" w:hAnsi="Arial"/>
                <w:sz w:val="12"/>
                <w:szCs w:val="12"/>
                <w:color w:val="auto"/>
              </w:rPr>
              <w:t>(295)</w:t>
            </w:r>
          </w:p>
        </w:tc>
        <w:tc>
          <w:tcPr>
            <w:tcW w:w="116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(89)</w:t>
            </w:r>
          </w:p>
        </w:tc>
        <w:tc>
          <w:tcPr>
            <w:tcW w:w="1420" w:type="dxa"/>
            <w:vAlign w:val="bottom"/>
            <w:tcBorders>
              <w:bottom w:val="single" w:sz="8" w:color="FDF5E7"/>
            </w:tcBorders>
            <w:shd w:val="clear" w:color="auto" w:fill="FDF5E7"/>
          </w:tcPr>
          <w:p>
            <w:pPr>
              <w:jc w:val="right"/>
              <w:ind w:right="298"/>
              <w:spacing w:after="0"/>
              <w:rPr>
                <w:sz w:val="20"/>
                <w:szCs w:val="20"/>
                <w:color w:val="auto"/>
              </w:rPr>
            </w:pPr>
            <w:r>
              <w:rPr>
                <w:rFonts w:ascii="Arial" w:cs="Arial" w:eastAsia="Arial" w:hAnsi="Arial"/>
                <w:sz w:val="12"/>
                <w:szCs w:val="12"/>
                <w:color w:val="auto"/>
              </w:rPr>
              <w:t>(3)</w:t>
            </w:r>
          </w:p>
        </w:tc>
        <w:tc>
          <w:tcPr>
            <w:tcW w:w="9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460" w:type="dxa"/>
            <w:vAlign w:val="bottom"/>
          </w:tcPr>
          <w:p>
            <w:pPr>
              <w:ind w:left="20"/>
              <w:spacing w:after="0"/>
              <w:rPr>
                <w:sz w:val="20"/>
                <w:szCs w:val="20"/>
                <w:color w:val="auto"/>
              </w:rPr>
            </w:pPr>
            <w:r>
              <w:rPr>
                <w:rFonts w:ascii="Arial" w:cs="Arial" w:eastAsia="Arial" w:hAnsi="Arial"/>
                <w:sz w:val="12"/>
                <w:szCs w:val="12"/>
                <w:color w:val="3C3C3B"/>
              </w:rPr>
              <w:t>Other operating income (expenses)</w:t>
            </w:r>
          </w:p>
        </w:tc>
        <w:tc>
          <w:tcPr>
            <w:tcW w:w="1060" w:type="dxa"/>
            <w:vAlign w:val="bottom"/>
          </w:tcPr>
          <w:p>
            <w:pPr>
              <w:jc w:val="right"/>
              <w:spacing w:after="0"/>
              <w:rPr>
                <w:sz w:val="20"/>
                <w:szCs w:val="20"/>
                <w:color w:val="auto"/>
              </w:rPr>
            </w:pPr>
            <w:r>
              <w:rPr>
                <w:rFonts w:ascii="Arial" w:cs="Arial" w:eastAsia="Arial" w:hAnsi="Arial"/>
                <w:sz w:val="12"/>
                <w:szCs w:val="12"/>
                <w:color w:val="auto"/>
              </w:rPr>
              <w:t>(39)</w:t>
            </w:r>
          </w:p>
        </w:tc>
        <w:tc>
          <w:tcPr>
            <w:tcW w:w="120" w:type="dxa"/>
            <w:vAlign w:val="bottom"/>
          </w:tcPr>
          <w:p>
            <w:pPr>
              <w:spacing w:after="0"/>
              <w:rPr>
                <w:sz w:val="15"/>
                <w:szCs w:val="15"/>
                <w:color w:val="auto"/>
              </w:rPr>
            </w:pPr>
          </w:p>
        </w:tc>
        <w:tc>
          <w:tcPr>
            <w:tcW w:w="144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538"/>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258"/>
              <w:spacing w:after="0"/>
              <w:rPr>
                <w:sz w:val="20"/>
                <w:szCs w:val="20"/>
                <w:color w:val="auto"/>
              </w:rPr>
            </w:pPr>
            <w:r>
              <w:rPr>
                <w:rFonts w:ascii="Arial" w:cs="Arial" w:eastAsia="Arial" w:hAnsi="Arial"/>
                <w:sz w:val="12"/>
                <w:szCs w:val="12"/>
                <w:color w:val="auto"/>
              </w:rPr>
              <w:t>(102)</w:t>
            </w:r>
          </w:p>
        </w:tc>
        <w:tc>
          <w:tcPr>
            <w:tcW w:w="142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26"/>
        </w:trPr>
        <w:tc>
          <w:tcPr>
            <w:tcW w:w="2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60" w:type="dxa"/>
            <w:vAlign w:val="bottom"/>
          </w:tcPr>
          <w:p>
            <w:pPr>
              <w:ind w:left="20"/>
              <w:spacing w:after="0"/>
              <w:rPr>
                <w:sz w:val="20"/>
                <w:szCs w:val="20"/>
                <w:color w:val="auto"/>
              </w:rPr>
            </w:pPr>
            <w:r>
              <w:rPr>
                <w:rFonts w:ascii="Arial" w:cs="Arial" w:eastAsia="Arial" w:hAnsi="Arial"/>
                <w:sz w:val="12"/>
                <w:szCs w:val="12"/>
                <w:b w:val="1"/>
                <w:bCs w:val="1"/>
                <w:color w:val="E99D25"/>
              </w:rPr>
              <w:t>TOTAL</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E99D25"/>
              </w:rPr>
              <w:t>(29,977)</w:t>
            </w:r>
          </w:p>
        </w:tc>
        <w:tc>
          <w:tcPr>
            <w:tcW w:w="120" w:type="dxa"/>
            <w:vAlign w:val="bottom"/>
          </w:tcPr>
          <w:p>
            <w:pPr>
              <w:spacing w:after="0"/>
              <w:rPr>
                <w:sz w:val="14"/>
                <w:szCs w:val="14"/>
                <w:color w:val="auto"/>
              </w:rPr>
            </w:pPr>
          </w:p>
        </w:tc>
        <w:tc>
          <w:tcPr>
            <w:tcW w:w="1440" w:type="dxa"/>
            <w:vAlign w:val="bottom"/>
          </w:tcPr>
          <w:p>
            <w:pPr>
              <w:jc w:val="right"/>
              <w:ind w:right="238"/>
              <w:spacing w:after="0"/>
              <w:rPr>
                <w:sz w:val="20"/>
                <w:szCs w:val="20"/>
                <w:color w:val="auto"/>
              </w:rPr>
            </w:pPr>
            <w:r>
              <w:rPr>
                <w:rFonts w:ascii="Arial" w:cs="Arial" w:eastAsia="Arial" w:hAnsi="Arial"/>
                <w:sz w:val="12"/>
                <w:szCs w:val="12"/>
                <w:b w:val="1"/>
                <w:bCs w:val="1"/>
                <w:color w:val="E99D25"/>
              </w:rPr>
              <w:t>(1,210)</w:t>
            </w:r>
          </w:p>
        </w:tc>
        <w:tc>
          <w:tcPr>
            <w:tcW w:w="1320" w:type="dxa"/>
            <w:vAlign w:val="bottom"/>
          </w:tcPr>
          <w:p>
            <w:pPr>
              <w:jc w:val="right"/>
              <w:ind w:right="258"/>
              <w:spacing w:after="0"/>
              <w:rPr>
                <w:sz w:val="20"/>
                <w:szCs w:val="20"/>
                <w:color w:val="auto"/>
              </w:rPr>
            </w:pPr>
            <w:r>
              <w:rPr>
                <w:rFonts w:ascii="Arial" w:cs="Arial" w:eastAsia="Arial" w:hAnsi="Arial"/>
                <w:sz w:val="12"/>
                <w:szCs w:val="12"/>
                <w:b w:val="1"/>
                <w:bCs w:val="1"/>
                <w:color w:val="E99D25"/>
              </w:rPr>
              <w:t>(7,907)</w:t>
            </w:r>
          </w:p>
        </w:tc>
        <w:tc>
          <w:tcPr>
            <w:tcW w:w="1320" w:type="dxa"/>
            <w:vAlign w:val="bottom"/>
          </w:tcPr>
          <w:p>
            <w:pPr>
              <w:jc w:val="right"/>
              <w:ind w:right="498"/>
              <w:spacing w:after="0"/>
              <w:rPr>
                <w:sz w:val="20"/>
                <w:szCs w:val="20"/>
                <w:color w:val="auto"/>
              </w:rPr>
            </w:pPr>
            <w:r>
              <w:rPr>
                <w:rFonts w:ascii="Arial" w:cs="Arial" w:eastAsia="Arial" w:hAnsi="Arial"/>
                <w:sz w:val="12"/>
                <w:szCs w:val="12"/>
                <w:b w:val="1"/>
                <w:bCs w:val="1"/>
                <w:color w:val="E99D25"/>
              </w:rPr>
              <w:t>(11,284)</w:t>
            </w:r>
          </w:p>
        </w:tc>
        <w:tc>
          <w:tcPr>
            <w:tcW w:w="1160" w:type="dxa"/>
            <w:vAlign w:val="bottom"/>
          </w:tcPr>
          <w:p>
            <w:pPr>
              <w:jc w:val="right"/>
              <w:ind w:right="258"/>
              <w:spacing w:after="0"/>
              <w:rPr>
                <w:sz w:val="20"/>
                <w:szCs w:val="20"/>
                <w:color w:val="auto"/>
              </w:rPr>
            </w:pPr>
            <w:r>
              <w:rPr>
                <w:rFonts w:ascii="Arial" w:cs="Arial" w:eastAsia="Arial" w:hAnsi="Arial"/>
                <w:sz w:val="12"/>
                <w:szCs w:val="12"/>
                <w:b w:val="1"/>
                <w:bCs w:val="1"/>
                <w:color w:val="E99D25"/>
              </w:rPr>
              <w:t>(8,774)</w:t>
            </w:r>
          </w:p>
        </w:tc>
        <w:tc>
          <w:tcPr>
            <w:tcW w:w="1420" w:type="dxa"/>
            <w:vAlign w:val="bottom"/>
          </w:tcPr>
          <w:p>
            <w:pPr>
              <w:jc w:val="right"/>
              <w:ind w:right="298"/>
              <w:spacing w:after="0"/>
              <w:rPr>
                <w:sz w:val="20"/>
                <w:szCs w:val="20"/>
                <w:color w:val="auto"/>
              </w:rPr>
            </w:pPr>
            <w:r>
              <w:rPr>
                <w:rFonts w:ascii="Arial" w:cs="Arial" w:eastAsia="Arial" w:hAnsi="Arial"/>
                <w:sz w:val="12"/>
                <w:szCs w:val="12"/>
                <w:b w:val="1"/>
                <w:bCs w:val="1"/>
                <w:color w:val="E99D25"/>
              </w:rPr>
              <w:t>(863)</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E99D25"/>
              </w:rPr>
              <w:t>62</w:t>
            </w:r>
          </w:p>
        </w:tc>
        <w:tc>
          <w:tcPr>
            <w:tcW w:w="0" w:type="dxa"/>
            <w:vAlign w:val="bottom"/>
          </w:tcPr>
          <w:p>
            <w:pPr>
              <w:spacing w:after="0"/>
              <w:rPr>
                <w:sz w:val="1"/>
                <w:szCs w:val="1"/>
                <w:color w:val="auto"/>
              </w:rPr>
            </w:pP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9"/>
        </w:trPr>
        <w:tc>
          <w:tcPr>
            <w:tcW w:w="2460" w:type="dxa"/>
            <w:vAlign w:val="bottom"/>
          </w:tcPr>
          <w:p>
            <w:pPr>
              <w:ind w:left="20"/>
              <w:spacing w:after="0"/>
              <w:rPr>
                <w:sz w:val="20"/>
                <w:szCs w:val="20"/>
                <w:color w:val="auto"/>
              </w:rPr>
            </w:pPr>
            <w:r>
              <w:rPr>
                <w:rFonts w:ascii="Arial" w:cs="Arial" w:eastAsia="Arial" w:hAnsi="Arial"/>
                <w:sz w:val="12"/>
                <w:szCs w:val="12"/>
                <w:b w:val="1"/>
                <w:bCs w:val="1"/>
                <w:color w:val="3C3C3B"/>
              </w:rPr>
              <w:t>Operating expenses and other operating</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Arial" w:cs="Arial" w:eastAsia="Arial" w:hAnsi="Arial"/>
                <w:sz w:val="12"/>
                <w:szCs w:val="12"/>
                <w:b w:val="1"/>
                <w:bCs w:val="1"/>
                <w:color w:val="3C3C3B"/>
              </w:rPr>
              <w:t>income (expenses)</w:t>
            </w:r>
          </w:p>
        </w:tc>
        <w:tc>
          <w:tcPr>
            <w:tcW w:w="11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3C3C3B"/>
              </w:rPr>
              <w:t>Half-year ended</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80" w:type="dxa"/>
            <w:vAlign w:val="bottom"/>
            <w:gridSpan w:val="2"/>
          </w:tcPr>
          <w:p>
            <w:pPr>
              <w:jc w:val="right"/>
              <w:ind w:right="1038"/>
              <w:spacing w:after="0"/>
              <w:rPr>
                <w:sz w:val="20"/>
                <w:szCs w:val="20"/>
                <w:color w:val="auto"/>
              </w:rPr>
            </w:pPr>
            <w:r>
              <w:rPr>
                <w:rFonts w:ascii="Arial" w:cs="Arial" w:eastAsia="Arial" w:hAnsi="Arial"/>
                <w:sz w:val="12"/>
                <w:szCs w:val="12"/>
                <w:b w:val="1"/>
                <w:bCs w:val="1"/>
                <w:color w:val="3C3C3B"/>
              </w:rPr>
              <w:t>Of which :</w:t>
            </w: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E99D25"/>
              </w:rPr>
              <w:t>2025/06/30</w:t>
            </w:r>
          </w:p>
        </w:tc>
        <w:tc>
          <w:tcPr>
            <w:tcW w:w="1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24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40" w:type="dxa"/>
            <w:vAlign w:val="bottom"/>
          </w:tcPr>
          <w:p>
            <w:pPr>
              <w:jc w:val="right"/>
              <w:ind w:right="138"/>
              <w:spacing w:after="0"/>
              <w:rPr>
                <w:sz w:val="20"/>
                <w:szCs w:val="20"/>
                <w:color w:val="auto"/>
              </w:rPr>
            </w:pPr>
            <w:r>
              <w:rPr>
                <w:rFonts w:ascii="Arial" w:cs="Arial" w:eastAsia="Arial" w:hAnsi="Arial"/>
                <w:sz w:val="12"/>
                <w:szCs w:val="12"/>
                <w:b w:val="1"/>
                <w:bCs w:val="1"/>
                <w:color w:val="3C3C3B"/>
              </w:rPr>
              <w:t>Raw</w:t>
            </w:r>
          </w:p>
        </w:tc>
        <w:tc>
          <w:tcPr>
            <w:tcW w:w="1320" w:type="dxa"/>
            <w:vAlign w:val="bottom"/>
          </w:tcPr>
          <w:p>
            <w:pPr>
              <w:jc w:val="right"/>
              <w:ind w:right="138"/>
              <w:spacing w:after="0"/>
              <w:rPr>
                <w:sz w:val="20"/>
                <w:szCs w:val="20"/>
                <w:color w:val="auto"/>
              </w:rPr>
            </w:pPr>
            <w:r>
              <w:rPr>
                <w:rFonts w:ascii="Arial" w:cs="Arial" w:eastAsia="Arial" w:hAnsi="Arial"/>
                <w:sz w:val="12"/>
                <w:szCs w:val="12"/>
                <w:b w:val="1"/>
                <w:bCs w:val="1"/>
                <w:color w:val="3C3C3B"/>
              </w:rPr>
              <w:t>Contracted</w:t>
            </w:r>
          </w:p>
        </w:tc>
        <w:tc>
          <w:tcPr>
            <w:tcW w:w="1320" w:type="dxa"/>
            <w:vAlign w:val="bottom"/>
          </w:tcPr>
          <w:p>
            <w:pPr>
              <w:jc w:val="right"/>
              <w:ind w:right="418"/>
              <w:spacing w:after="0"/>
              <w:rPr>
                <w:sz w:val="20"/>
                <w:szCs w:val="20"/>
                <w:color w:val="auto"/>
              </w:rPr>
            </w:pPr>
            <w:r>
              <w:rPr>
                <w:rFonts w:ascii="Arial" w:cs="Arial" w:eastAsia="Arial" w:hAnsi="Arial"/>
                <w:sz w:val="12"/>
                <w:szCs w:val="12"/>
                <w:b w:val="1"/>
                <w:bCs w:val="1"/>
                <w:color w:val="3C3C3B"/>
              </w:rPr>
              <w:t>Employee</w:t>
            </w:r>
          </w:p>
        </w:tc>
        <w:tc>
          <w:tcPr>
            <w:tcW w:w="1160" w:type="dxa"/>
            <w:vAlign w:val="bottom"/>
          </w:tcPr>
          <w:p>
            <w:pPr>
              <w:jc w:val="right"/>
              <w:ind w:right="198"/>
              <w:spacing w:after="0"/>
              <w:rPr>
                <w:sz w:val="20"/>
                <w:szCs w:val="20"/>
                <w:color w:val="auto"/>
              </w:rPr>
            </w:pPr>
            <w:r>
              <w:rPr>
                <w:rFonts w:ascii="Arial" w:cs="Arial" w:eastAsia="Arial" w:hAnsi="Arial"/>
                <w:sz w:val="12"/>
                <w:szCs w:val="12"/>
                <w:b w:val="1"/>
                <w:bCs w:val="1"/>
                <w:color w:val="3C3C3B"/>
              </w:rPr>
              <w:t>Other</w:t>
            </w:r>
          </w:p>
        </w:tc>
        <w:tc>
          <w:tcPr>
            <w:tcW w:w="1420" w:type="dxa"/>
            <w:vAlign w:val="bottom"/>
          </w:tcPr>
          <w:p>
            <w:pPr>
              <w:jc w:val="right"/>
              <w:ind w:right="198"/>
              <w:spacing w:after="0"/>
              <w:rPr>
                <w:sz w:val="20"/>
                <w:szCs w:val="20"/>
                <w:color w:val="auto"/>
              </w:rPr>
            </w:pPr>
            <w:r>
              <w:rPr>
                <w:rFonts w:ascii="Arial" w:cs="Arial" w:eastAsia="Arial" w:hAnsi="Arial"/>
                <w:sz w:val="12"/>
                <w:szCs w:val="12"/>
                <w:b w:val="1"/>
                <w:bCs w:val="1"/>
                <w:color w:val="3C3C3B"/>
              </w:rPr>
              <w:t>Depreciation,</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3C3C3B"/>
              </w:rPr>
              <w:t>Gain /</w:t>
            </w:r>
          </w:p>
        </w:tc>
        <w:tc>
          <w:tcPr>
            <w:tcW w:w="0" w:type="dxa"/>
            <w:vAlign w:val="bottom"/>
          </w:tcPr>
          <w:p>
            <w:pPr>
              <w:spacing w:after="0"/>
              <w:rPr>
                <w:sz w:val="1"/>
                <w:szCs w:val="1"/>
                <w:color w:val="auto"/>
              </w:rPr>
            </w:pPr>
          </w:p>
        </w:tc>
      </w:tr>
      <w:tr>
        <w:trPr>
          <w:trHeight w:val="199"/>
        </w:trPr>
        <w:tc>
          <w:tcPr>
            <w:tcW w:w="2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138"/>
              <w:spacing w:after="0"/>
              <w:rPr>
                <w:sz w:val="20"/>
                <w:szCs w:val="20"/>
                <w:color w:val="auto"/>
              </w:rPr>
            </w:pPr>
            <w:r>
              <w:rPr>
                <w:rFonts w:ascii="Arial" w:cs="Arial" w:eastAsia="Arial" w:hAnsi="Arial"/>
                <w:sz w:val="12"/>
                <w:szCs w:val="12"/>
                <w:b w:val="1"/>
                <w:bCs w:val="1"/>
                <w:color w:val="3C3C3B"/>
              </w:rPr>
              <w:t>materials</w:t>
            </w:r>
          </w:p>
        </w:tc>
        <w:tc>
          <w:tcPr>
            <w:tcW w:w="1320" w:type="dxa"/>
            <w:vAlign w:val="bottom"/>
          </w:tcPr>
          <w:p>
            <w:pPr>
              <w:jc w:val="right"/>
              <w:ind w:right="138"/>
              <w:spacing w:after="0"/>
              <w:rPr>
                <w:sz w:val="20"/>
                <w:szCs w:val="20"/>
                <w:color w:val="auto"/>
              </w:rPr>
            </w:pPr>
            <w:r>
              <w:rPr>
                <w:rFonts w:ascii="Arial" w:cs="Arial" w:eastAsia="Arial" w:hAnsi="Arial"/>
                <w:sz w:val="12"/>
                <w:szCs w:val="12"/>
                <w:b w:val="1"/>
                <w:bCs w:val="1"/>
                <w:color w:val="3C3C3B"/>
              </w:rPr>
              <w:t>research and</w:t>
            </w:r>
          </w:p>
        </w:tc>
        <w:tc>
          <w:tcPr>
            <w:tcW w:w="1320" w:type="dxa"/>
            <w:vAlign w:val="bottom"/>
          </w:tcPr>
          <w:p>
            <w:pPr>
              <w:jc w:val="right"/>
              <w:ind w:right="418"/>
              <w:spacing w:after="0"/>
              <w:rPr>
                <w:sz w:val="20"/>
                <w:szCs w:val="20"/>
                <w:color w:val="auto"/>
              </w:rPr>
            </w:pPr>
            <w:r>
              <w:rPr>
                <w:rFonts w:ascii="Arial" w:cs="Arial" w:eastAsia="Arial" w:hAnsi="Arial"/>
                <w:sz w:val="12"/>
                <w:szCs w:val="12"/>
                <w:b w:val="1"/>
                <w:bCs w:val="1"/>
                <w:color w:val="3C3C3B"/>
              </w:rPr>
              <w:t>expenses</w:t>
            </w:r>
          </w:p>
        </w:tc>
        <w:tc>
          <w:tcPr>
            <w:tcW w:w="1160" w:type="dxa"/>
            <w:vAlign w:val="bottom"/>
          </w:tcPr>
          <w:p>
            <w:pPr>
              <w:jc w:val="right"/>
              <w:ind w:right="198"/>
              <w:spacing w:after="0"/>
              <w:rPr>
                <w:sz w:val="20"/>
                <w:szCs w:val="20"/>
                <w:color w:val="auto"/>
              </w:rPr>
            </w:pPr>
            <w:r>
              <w:rPr>
                <w:rFonts w:ascii="Arial" w:cs="Arial" w:eastAsia="Arial" w:hAnsi="Arial"/>
                <w:sz w:val="12"/>
                <w:szCs w:val="12"/>
                <w:b w:val="1"/>
                <w:bCs w:val="1"/>
                <w:color w:val="3C3C3B"/>
              </w:rPr>
              <w:t>expenses</w:t>
            </w:r>
          </w:p>
        </w:tc>
        <w:tc>
          <w:tcPr>
            <w:tcW w:w="1420" w:type="dxa"/>
            <w:vAlign w:val="bottom"/>
          </w:tcPr>
          <w:p>
            <w:pPr>
              <w:jc w:val="right"/>
              <w:ind w:right="198"/>
              <w:spacing w:after="0"/>
              <w:rPr>
                <w:sz w:val="20"/>
                <w:szCs w:val="20"/>
                <w:color w:val="auto"/>
              </w:rPr>
            </w:pPr>
            <w:r>
              <w:rPr>
                <w:rFonts w:ascii="Arial" w:cs="Arial" w:eastAsia="Arial" w:hAnsi="Arial"/>
                <w:sz w:val="12"/>
                <w:szCs w:val="12"/>
                <w:b w:val="1"/>
                <w:bCs w:val="1"/>
                <w:color w:val="3C3C3B"/>
              </w:rPr>
              <w:t>amortization</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3C3C3B"/>
              </w:rPr>
              <w:t>(loss) on</w:t>
            </w:r>
          </w:p>
        </w:tc>
        <w:tc>
          <w:tcPr>
            <w:tcW w:w="0" w:type="dxa"/>
            <w:vAlign w:val="bottom"/>
          </w:tcPr>
          <w:p>
            <w:pPr>
              <w:spacing w:after="0"/>
              <w:rPr>
                <w:sz w:val="1"/>
                <w:szCs w:val="1"/>
                <w:color w:val="auto"/>
              </w:rPr>
            </w:pPr>
          </w:p>
        </w:tc>
      </w:tr>
      <w:tr>
        <w:trPr>
          <w:trHeight w:val="199"/>
        </w:trPr>
        <w:tc>
          <w:tcPr>
            <w:tcW w:w="2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138"/>
              <w:spacing w:after="0"/>
              <w:rPr>
                <w:sz w:val="20"/>
                <w:szCs w:val="20"/>
                <w:color w:val="auto"/>
              </w:rPr>
            </w:pPr>
            <w:r>
              <w:rPr>
                <w:rFonts w:ascii="Arial" w:cs="Arial" w:eastAsia="Arial" w:hAnsi="Arial"/>
                <w:sz w:val="12"/>
                <w:szCs w:val="12"/>
                <w:b w:val="1"/>
                <w:bCs w:val="1"/>
                <w:color w:val="3C3C3B"/>
              </w:rPr>
              <w:t>and</w:t>
            </w:r>
          </w:p>
        </w:tc>
        <w:tc>
          <w:tcPr>
            <w:tcW w:w="1320" w:type="dxa"/>
            <w:vAlign w:val="bottom"/>
          </w:tcPr>
          <w:p>
            <w:pPr>
              <w:jc w:val="right"/>
              <w:ind w:right="138"/>
              <w:spacing w:after="0"/>
              <w:rPr>
                <w:sz w:val="20"/>
                <w:szCs w:val="20"/>
                <w:color w:val="auto"/>
              </w:rPr>
            </w:pPr>
            <w:r>
              <w:rPr>
                <w:rFonts w:ascii="Arial" w:cs="Arial" w:eastAsia="Arial" w:hAnsi="Arial"/>
                <w:sz w:val="12"/>
                <w:szCs w:val="12"/>
                <w:b w:val="1"/>
                <w:bCs w:val="1"/>
                <w:color w:val="3C3C3B"/>
              </w:rPr>
              <w:t>development</w:t>
            </w:r>
          </w:p>
        </w:tc>
        <w:tc>
          <w:tcPr>
            <w:tcW w:w="1320" w:type="dxa"/>
            <w:vAlign w:val="bottom"/>
          </w:tcPr>
          <w:p>
            <w:pPr>
              <w:spacing w:after="0"/>
              <w:rPr>
                <w:sz w:val="17"/>
                <w:szCs w:val="17"/>
                <w:color w:val="auto"/>
              </w:rPr>
            </w:pPr>
          </w:p>
        </w:tc>
        <w:tc>
          <w:tcPr>
            <w:tcW w:w="1160" w:type="dxa"/>
            <w:vAlign w:val="bottom"/>
          </w:tcPr>
          <w:p>
            <w:pPr>
              <w:jc w:val="right"/>
              <w:ind w:right="198"/>
              <w:spacing w:after="0"/>
              <w:rPr>
                <w:sz w:val="20"/>
                <w:szCs w:val="20"/>
                <w:color w:val="auto"/>
              </w:rPr>
            </w:pPr>
            <w:r>
              <w:rPr>
                <w:rFonts w:ascii="Arial" w:cs="Arial" w:eastAsia="Arial" w:hAnsi="Arial"/>
                <w:sz w:val="12"/>
                <w:szCs w:val="12"/>
                <w:b w:val="1"/>
                <w:bCs w:val="1"/>
                <w:color w:val="3C3C3B"/>
              </w:rPr>
              <w:t>(maintenance,</w:t>
            </w:r>
          </w:p>
        </w:tc>
        <w:tc>
          <w:tcPr>
            <w:tcW w:w="1420" w:type="dxa"/>
            <w:vAlign w:val="bottom"/>
          </w:tcPr>
          <w:p>
            <w:pPr>
              <w:jc w:val="right"/>
              <w:ind w:right="198"/>
              <w:spacing w:after="0"/>
              <w:rPr>
                <w:sz w:val="20"/>
                <w:szCs w:val="20"/>
                <w:color w:val="auto"/>
              </w:rPr>
            </w:pPr>
            <w:r>
              <w:rPr>
                <w:rFonts w:ascii="Arial" w:cs="Arial" w:eastAsia="Arial" w:hAnsi="Arial"/>
                <w:sz w:val="12"/>
                <w:szCs w:val="12"/>
                <w:b w:val="1"/>
                <w:bCs w:val="1"/>
                <w:color w:val="3C3C3B"/>
              </w:rPr>
              <w:t>and</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3C3C3B"/>
              </w:rPr>
              <w:t>disposal of</w:t>
            </w:r>
          </w:p>
        </w:tc>
        <w:tc>
          <w:tcPr>
            <w:tcW w:w="0" w:type="dxa"/>
            <w:vAlign w:val="bottom"/>
          </w:tcPr>
          <w:p>
            <w:pPr>
              <w:spacing w:after="0"/>
              <w:rPr>
                <w:sz w:val="1"/>
                <w:szCs w:val="1"/>
                <w:color w:val="auto"/>
              </w:rPr>
            </w:pPr>
          </w:p>
        </w:tc>
      </w:tr>
      <w:tr>
        <w:trPr>
          <w:trHeight w:val="199"/>
        </w:trPr>
        <w:tc>
          <w:tcPr>
            <w:tcW w:w="2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138"/>
              <w:spacing w:after="0"/>
              <w:rPr>
                <w:sz w:val="20"/>
                <w:szCs w:val="20"/>
                <w:color w:val="auto"/>
              </w:rPr>
            </w:pPr>
            <w:r>
              <w:rPr>
                <w:rFonts w:ascii="Arial" w:cs="Arial" w:eastAsia="Arial" w:hAnsi="Arial"/>
                <w:sz w:val="12"/>
                <w:szCs w:val="12"/>
                <w:b w:val="1"/>
                <w:bCs w:val="1"/>
                <w:color w:val="3C3C3B"/>
              </w:rPr>
              <w:t>consumables</w:t>
            </w:r>
          </w:p>
        </w:tc>
        <w:tc>
          <w:tcPr>
            <w:tcW w:w="1320" w:type="dxa"/>
            <w:vAlign w:val="bottom"/>
          </w:tcPr>
          <w:p>
            <w:pPr>
              <w:jc w:val="right"/>
              <w:ind w:right="138"/>
              <w:spacing w:after="0"/>
              <w:rPr>
                <w:sz w:val="20"/>
                <w:szCs w:val="20"/>
                <w:color w:val="auto"/>
              </w:rPr>
            </w:pPr>
            <w:r>
              <w:rPr>
                <w:rFonts w:ascii="Arial" w:cs="Arial" w:eastAsia="Arial" w:hAnsi="Arial"/>
                <w:sz w:val="12"/>
                <w:szCs w:val="12"/>
                <w:b w:val="1"/>
                <w:bCs w:val="1"/>
                <w:color w:val="3C3C3B"/>
              </w:rPr>
              <w:t>activities</w:t>
            </w:r>
          </w:p>
        </w:tc>
        <w:tc>
          <w:tcPr>
            <w:tcW w:w="1320" w:type="dxa"/>
            <w:vAlign w:val="bottom"/>
          </w:tcPr>
          <w:p>
            <w:pPr>
              <w:spacing w:after="0"/>
              <w:rPr>
                <w:sz w:val="17"/>
                <w:szCs w:val="17"/>
                <w:color w:val="auto"/>
              </w:rPr>
            </w:pPr>
          </w:p>
        </w:tc>
        <w:tc>
          <w:tcPr>
            <w:tcW w:w="1160" w:type="dxa"/>
            <w:vAlign w:val="bottom"/>
          </w:tcPr>
          <w:p>
            <w:pPr>
              <w:jc w:val="right"/>
              <w:ind w:right="198"/>
              <w:spacing w:after="0"/>
              <w:rPr>
                <w:sz w:val="20"/>
                <w:szCs w:val="20"/>
                <w:color w:val="auto"/>
              </w:rPr>
            </w:pPr>
            <w:r>
              <w:rPr>
                <w:rFonts w:ascii="Arial" w:cs="Arial" w:eastAsia="Arial" w:hAnsi="Arial"/>
                <w:sz w:val="12"/>
                <w:szCs w:val="12"/>
                <w:b w:val="1"/>
                <w:bCs w:val="1"/>
                <w:color w:val="3C3C3B"/>
              </w:rPr>
              <w:t>fees, travel,</w:t>
            </w:r>
          </w:p>
        </w:tc>
        <w:tc>
          <w:tcPr>
            <w:tcW w:w="1420" w:type="dxa"/>
            <w:vAlign w:val="bottom"/>
          </w:tcPr>
          <w:p>
            <w:pPr>
              <w:jc w:val="right"/>
              <w:ind w:right="198"/>
              <w:spacing w:after="0"/>
              <w:rPr>
                <w:sz w:val="20"/>
                <w:szCs w:val="20"/>
                <w:color w:val="auto"/>
              </w:rPr>
            </w:pPr>
            <w:r>
              <w:rPr>
                <w:rFonts w:ascii="Arial" w:cs="Arial" w:eastAsia="Arial" w:hAnsi="Arial"/>
                <w:sz w:val="12"/>
                <w:szCs w:val="12"/>
                <w:b w:val="1"/>
                <w:bCs w:val="1"/>
                <w:color w:val="3C3C3B"/>
              </w:rPr>
              <w:t>impairment</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3C3C3B"/>
              </w:rPr>
              <w:t>property,</w:t>
            </w:r>
          </w:p>
        </w:tc>
        <w:tc>
          <w:tcPr>
            <w:tcW w:w="0" w:type="dxa"/>
            <w:vAlign w:val="bottom"/>
          </w:tcPr>
          <w:p>
            <w:pPr>
              <w:spacing w:after="0"/>
              <w:rPr>
                <w:sz w:val="1"/>
                <w:szCs w:val="1"/>
                <w:color w:val="auto"/>
              </w:rPr>
            </w:pPr>
          </w:p>
        </w:tc>
      </w:tr>
      <w:tr>
        <w:trPr>
          <w:trHeight w:val="199"/>
        </w:trPr>
        <w:tc>
          <w:tcPr>
            <w:tcW w:w="2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138"/>
              <w:spacing w:after="0"/>
              <w:rPr>
                <w:sz w:val="20"/>
                <w:szCs w:val="20"/>
                <w:color w:val="auto"/>
              </w:rPr>
            </w:pPr>
            <w:r>
              <w:rPr>
                <w:rFonts w:ascii="Arial" w:cs="Arial" w:eastAsia="Arial" w:hAnsi="Arial"/>
                <w:sz w:val="12"/>
                <w:szCs w:val="12"/>
                <w:b w:val="1"/>
                <w:bCs w:val="1"/>
                <w:color w:val="3C3C3B"/>
              </w:rPr>
              <w:t>used</w:t>
            </w:r>
          </w:p>
        </w:tc>
        <w:tc>
          <w:tcPr>
            <w:tcW w:w="1320" w:type="dxa"/>
            <w:vAlign w:val="bottom"/>
          </w:tcPr>
          <w:p>
            <w:pPr>
              <w:jc w:val="right"/>
              <w:ind w:right="138"/>
              <w:spacing w:after="0"/>
              <w:rPr>
                <w:sz w:val="20"/>
                <w:szCs w:val="20"/>
                <w:color w:val="auto"/>
              </w:rPr>
            </w:pPr>
            <w:r>
              <w:rPr>
                <w:rFonts w:ascii="Arial" w:cs="Arial" w:eastAsia="Arial" w:hAnsi="Arial"/>
                <w:sz w:val="12"/>
                <w:szCs w:val="12"/>
                <w:b w:val="1"/>
                <w:bCs w:val="1"/>
                <w:color w:val="3C3C3B"/>
              </w:rPr>
              <w:t>conducted by</w:t>
            </w:r>
          </w:p>
        </w:tc>
        <w:tc>
          <w:tcPr>
            <w:tcW w:w="1320" w:type="dxa"/>
            <w:vAlign w:val="bottom"/>
          </w:tcPr>
          <w:p>
            <w:pPr>
              <w:spacing w:after="0"/>
              <w:rPr>
                <w:sz w:val="17"/>
                <w:szCs w:val="17"/>
                <w:color w:val="auto"/>
              </w:rPr>
            </w:pPr>
          </w:p>
        </w:tc>
        <w:tc>
          <w:tcPr>
            <w:tcW w:w="1160" w:type="dxa"/>
            <w:vAlign w:val="bottom"/>
          </w:tcPr>
          <w:p>
            <w:pPr>
              <w:jc w:val="right"/>
              <w:ind w:right="198"/>
              <w:spacing w:after="0"/>
              <w:rPr>
                <w:sz w:val="20"/>
                <w:szCs w:val="20"/>
                <w:color w:val="auto"/>
              </w:rPr>
            </w:pPr>
            <w:r>
              <w:rPr>
                <w:rFonts w:ascii="Arial" w:cs="Arial" w:eastAsia="Arial" w:hAnsi="Arial"/>
                <w:sz w:val="12"/>
                <w:szCs w:val="12"/>
                <w:b w:val="1"/>
                <w:bCs w:val="1"/>
                <w:color w:val="3C3C3B"/>
              </w:rPr>
              <w:t>taxes…)</w:t>
            </w:r>
          </w:p>
        </w:tc>
        <w:tc>
          <w:tcPr>
            <w:tcW w:w="1420" w:type="dxa"/>
            <w:vAlign w:val="bottom"/>
          </w:tcPr>
          <w:p>
            <w:pPr>
              <w:jc w:val="right"/>
              <w:ind w:right="198"/>
              <w:spacing w:after="0"/>
              <w:rPr>
                <w:sz w:val="20"/>
                <w:szCs w:val="20"/>
                <w:color w:val="auto"/>
              </w:rPr>
            </w:pPr>
            <w:r>
              <w:rPr>
                <w:rFonts w:ascii="Arial" w:cs="Arial" w:eastAsia="Arial" w:hAnsi="Arial"/>
                <w:sz w:val="12"/>
                <w:szCs w:val="12"/>
                <w:b w:val="1"/>
                <w:bCs w:val="1"/>
                <w:color w:val="3C3C3B"/>
              </w:rPr>
              <w:t>charges</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3C3C3B"/>
              </w:rPr>
              <w:t>plant and</w:t>
            </w:r>
          </w:p>
        </w:tc>
        <w:tc>
          <w:tcPr>
            <w:tcW w:w="0" w:type="dxa"/>
            <w:vAlign w:val="bottom"/>
          </w:tcPr>
          <w:p>
            <w:pPr>
              <w:spacing w:after="0"/>
              <w:rPr>
                <w:sz w:val="1"/>
                <w:szCs w:val="1"/>
                <w:color w:val="auto"/>
              </w:rPr>
            </w:pPr>
          </w:p>
        </w:tc>
      </w:tr>
      <w:tr>
        <w:trPr>
          <w:trHeight w:val="199"/>
        </w:trPr>
        <w:tc>
          <w:tcPr>
            <w:tcW w:w="246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jc w:val="right"/>
              <w:ind w:right="138"/>
              <w:spacing w:after="0"/>
              <w:rPr>
                <w:sz w:val="20"/>
                <w:szCs w:val="20"/>
                <w:color w:val="auto"/>
              </w:rPr>
            </w:pPr>
            <w:r>
              <w:rPr>
                <w:rFonts w:ascii="Arial" w:cs="Arial" w:eastAsia="Arial" w:hAnsi="Arial"/>
                <w:sz w:val="12"/>
                <w:szCs w:val="12"/>
                <w:b w:val="1"/>
                <w:bCs w:val="1"/>
                <w:color w:val="3C3C3B"/>
              </w:rPr>
              <w:t>third parties</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3C3C3B"/>
              </w:rPr>
              <w:t>equipment</w:t>
            </w:r>
          </w:p>
        </w:tc>
        <w:tc>
          <w:tcPr>
            <w:tcW w:w="0" w:type="dxa"/>
            <w:vAlign w:val="bottom"/>
          </w:tcPr>
          <w:p>
            <w:pPr>
              <w:spacing w:after="0"/>
              <w:rPr>
                <w:sz w:val="1"/>
                <w:szCs w:val="1"/>
                <w:color w:val="auto"/>
              </w:rPr>
            </w:pP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24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Research and development expenses</w:t>
            </w:r>
          </w:p>
        </w:tc>
        <w:tc>
          <w:tcPr>
            <w:tcW w:w="1180" w:type="dxa"/>
            <w:vAlign w:val="bottom"/>
            <w:tcBorders>
              <w:bottom w:val="single" w:sz="8" w:color="FDF5E7"/>
            </w:tcBorders>
            <w:gridSpan w:val="2"/>
            <w:shd w:val="clear" w:color="auto" w:fill="FDF5E7"/>
          </w:tcPr>
          <w:p>
            <w:pPr>
              <w:jc w:val="right"/>
              <w:ind w:right="20"/>
              <w:spacing w:after="0"/>
              <w:rPr>
                <w:sz w:val="20"/>
                <w:szCs w:val="20"/>
                <w:color w:val="auto"/>
              </w:rPr>
            </w:pPr>
            <w:r>
              <w:rPr>
                <w:rFonts w:ascii="Arial" w:cs="Arial" w:eastAsia="Arial" w:hAnsi="Arial"/>
                <w:sz w:val="12"/>
                <w:szCs w:val="12"/>
                <w:color w:val="auto"/>
              </w:rPr>
              <w:t>(25,117)</w:t>
            </w:r>
          </w:p>
        </w:tc>
        <w:tc>
          <w:tcPr>
            <w:tcW w:w="1440" w:type="dxa"/>
            <w:vAlign w:val="bottom"/>
            <w:tcBorders>
              <w:bottom w:val="single" w:sz="8" w:color="FDF5E7"/>
            </w:tcBorders>
            <w:shd w:val="clear" w:color="auto" w:fill="FDF5E7"/>
          </w:tcPr>
          <w:p>
            <w:pPr>
              <w:jc w:val="right"/>
              <w:ind w:right="158"/>
              <w:spacing w:after="0"/>
              <w:rPr>
                <w:sz w:val="20"/>
                <w:szCs w:val="20"/>
                <w:color w:val="auto"/>
              </w:rPr>
            </w:pPr>
            <w:r>
              <w:rPr>
                <w:rFonts w:ascii="Arial" w:cs="Arial" w:eastAsia="Arial" w:hAnsi="Arial"/>
                <w:sz w:val="12"/>
                <w:szCs w:val="12"/>
                <w:color w:val="auto"/>
              </w:rPr>
              <w:t>(1,083)</w:t>
            </w:r>
          </w:p>
        </w:tc>
        <w:tc>
          <w:tcPr>
            <w:tcW w:w="1320" w:type="dxa"/>
            <w:vAlign w:val="bottom"/>
            <w:tcBorders>
              <w:bottom w:val="single" w:sz="8" w:color="FDF5E7"/>
            </w:tcBorders>
            <w:shd w:val="clear" w:color="auto" w:fill="FDF5E7"/>
          </w:tcPr>
          <w:p>
            <w:pPr>
              <w:jc w:val="right"/>
              <w:ind w:right="138"/>
              <w:spacing w:after="0"/>
              <w:rPr>
                <w:sz w:val="20"/>
                <w:szCs w:val="20"/>
                <w:color w:val="auto"/>
              </w:rPr>
            </w:pPr>
            <w:r>
              <w:rPr>
                <w:rFonts w:ascii="Arial" w:cs="Arial" w:eastAsia="Arial" w:hAnsi="Arial"/>
                <w:sz w:val="12"/>
                <w:szCs w:val="12"/>
                <w:color w:val="auto"/>
              </w:rPr>
              <w:t>(13,377)</w:t>
            </w:r>
          </w:p>
        </w:tc>
        <w:tc>
          <w:tcPr>
            <w:tcW w:w="1320" w:type="dxa"/>
            <w:vAlign w:val="bottom"/>
            <w:tcBorders>
              <w:bottom w:val="single" w:sz="8" w:color="FDF5E7"/>
            </w:tcBorders>
            <w:shd w:val="clear" w:color="auto" w:fill="FDF5E7"/>
          </w:tcPr>
          <w:p>
            <w:pPr>
              <w:jc w:val="right"/>
              <w:ind w:right="418"/>
              <w:spacing w:after="0"/>
              <w:rPr>
                <w:sz w:val="20"/>
                <w:szCs w:val="20"/>
                <w:color w:val="auto"/>
              </w:rPr>
            </w:pPr>
            <w:r>
              <w:rPr>
                <w:rFonts w:ascii="Arial" w:cs="Arial" w:eastAsia="Arial" w:hAnsi="Arial"/>
                <w:sz w:val="12"/>
                <w:szCs w:val="12"/>
                <w:color w:val="auto"/>
              </w:rPr>
              <w:t>(7,339)</w:t>
            </w:r>
          </w:p>
        </w:tc>
        <w:tc>
          <w:tcPr>
            <w:tcW w:w="1160" w:type="dxa"/>
            <w:vAlign w:val="bottom"/>
            <w:tcBorders>
              <w:bottom w:val="single" w:sz="8" w:color="FDF5E7"/>
            </w:tcBorders>
            <w:shd w:val="clear" w:color="auto" w:fill="FDF5E7"/>
          </w:tcPr>
          <w:p>
            <w:pPr>
              <w:jc w:val="right"/>
              <w:ind w:right="218"/>
              <w:spacing w:after="0"/>
              <w:rPr>
                <w:sz w:val="20"/>
                <w:szCs w:val="20"/>
                <w:color w:val="auto"/>
              </w:rPr>
            </w:pPr>
            <w:r>
              <w:rPr>
                <w:rFonts w:ascii="Arial" w:cs="Arial" w:eastAsia="Arial" w:hAnsi="Arial"/>
                <w:sz w:val="12"/>
                <w:szCs w:val="12"/>
                <w:color w:val="auto"/>
              </w:rPr>
              <w:t>(2,592)</w:t>
            </w:r>
          </w:p>
        </w:tc>
        <w:tc>
          <w:tcPr>
            <w:tcW w:w="1420" w:type="dxa"/>
            <w:vAlign w:val="bottom"/>
            <w:tcBorders>
              <w:bottom w:val="single" w:sz="8" w:color="FDF5E7"/>
            </w:tcBorders>
            <w:shd w:val="clear" w:color="auto" w:fill="FDF5E7"/>
          </w:tcPr>
          <w:p>
            <w:pPr>
              <w:jc w:val="right"/>
              <w:ind w:right="218"/>
              <w:spacing w:after="0"/>
              <w:rPr>
                <w:sz w:val="20"/>
                <w:szCs w:val="20"/>
                <w:color w:val="auto"/>
              </w:rPr>
            </w:pPr>
            <w:r>
              <w:rPr>
                <w:rFonts w:ascii="Arial" w:cs="Arial" w:eastAsia="Arial" w:hAnsi="Arial"/>
                <w:sz w:val="12"/>
                <w:szCs w:val="12"/>
                <w:color w:val="auto"/>
              </w:rPr>
              <w:t>(726)</w:t>
            </w:r>
          </w:p>
        </w:tc>
        <w:tc>
          <w:tcPr>
            <w:tcW w:w="9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460" w:type="dxa"/>
            <w:vAlign w:val="bottom"/>
          </w:tcPr>
          <w:p>
            <w:pPr>
              <w:ind w:left="20"/>
              <w:spacing w:after="0"/>
              <w:rPr>
                <w:sz w:val="20"/>
                <w:szCs w:val="20"/>
                <w:color w:val="auto"/>
              </w:rPr>
            </w:pPr>
            <w:r>
              <w:rPr>
                <w:rFonts w:ascii="Arial" w:cs="Arial" w:eastAsia="Arial" w:hAnsi="Arial"/>
                <w:sz w:val="12"/>
                <w:szCs w:val="12"/>
                <w:color w:val="3C3C3B"/>
              </w:rPr>
              <w:t>General and administrative expenses</w:t>
            </w:r>
          </w:p>
        </w:tc>
        <w:tc>
          <w:tcPr>
            <w:tcW w:w="1180" w:type="dxa"/>
            <w:vAlign w:val="bottom"/>
            <w:gridSpan w:val="2"/>
          </w:tcPr>
          <w:p>
            <w:pPr>
              <w:jc w:val="right"/>
              <w:ind w:right="20"/>
              <w:spacing w:after="0"/>
              <w:rPr>
                <w:sz w:val="20"/>
                <w:szCs w:val="20"/>
                <w:color w:val="auto"/>
              </w:rPr>
            </w:pPr>
            <w:r>
              <w:rPr>
                <w:rFonts w:ascii="Arial" w:cs="Arial" w:eastAsia="Arial" w:hAnsi="Arial"/>
                <w:sz w:val="12"/>
                <w:szCs w:val="12"/>
                <w:color w:val="auto"/>
              </w:rPr>
              <w:t>(9,971)</w:t>
            </w:r>
          </w:p>
        </w:tc>
        <w:tc>
          <w:tcPr>
            <w:tcW w:w="1440" w:type="dxa"/>
            <w:vAlign w:val="bottom"/>
          </w:tcPr>
          <w:p>
            <w:pPr>
              <w:jc w:val="right"/>
              <w:ind w:right="158"/>
              <w:spacing w:after="0"/>
              <w:rPr>
                <w:sz w:val="20"/>
                <w:szCs w:val="20"/>
                <w:color w:val="auto"/>
              </w:rPr>
            </w:pPr>
            <w:r>
              <w:rPr>
                <w:rFonts w:ascii="Arial" w:cs="Arial" w:eastAsia="Arial" w:hAnsi="Arial"/>
                <w:sz w:val="12"/>
                <w:szCs w:val="12"/>
                <w:color w:val="auto"/>
              </w:rPr>
              <w:t>(155)</w:t>
            </w:r>
          </w:p>
        </w:tc>
        <w:tc>
          <w:tcPr>
            <w:tcW w:w="1320" w:type="dxa"/>
            <w:vAlign w:val="bottom"/>
          </w:tcPr>
          <w:p>
            <w:pPr>
              <w:jc w:val="right"/>
              <w:ind w:right="138"/>
              <w:spacing w:after="0"/>
              <w:rPr>
                <w:sz w:val="20"/>
                <w:szCs w:val="20"/>
                <w:color w:val="auto"/>
              </w:rPr>
            </w:pPr>
            <w:r>
              <w:rPr>
                <w:rFonts w:ascii="Arial" w:cs="Arial" w:eastAsia="Arial" w:hAnsi="Arial"/>
                <w:sz w:val="12"/>
                <w:szCs w:val="12"/>
                <w:color w:val="auto"/>
              </w:rPr>
              <w:t>(61)</w:t>
            </w:r>
          </w:p>
        </w:tc>
        <w:tc>
          <w:tcPr>
            <w:tcW w:w="1320" w:type="dxa"/>
            <w:vAlign w:val="bottom"/>
          </w:tcPr>
          <w:p>
            <w:pPr>
              <w:jc w:val="right"/>
              <w:ind w:right="418"/>
              <w:spacing w:after="0"/>
              <w:rPr>
                <w:sz w:val="20"/>
                <w:szCs w:val="20"/>
                <w:color w:val="auto"/>
              </w:rPr>
            </w:pPr>
            <w:r>
              <w:rPr>
                <w:rFonts w:ascii="Arial" w:cs="Arial" w:eastAsia="Arial" w:hAnsi="Arial"/>
                <w:sz w:val="12"/>
                <w:szCs w:val="12"/>
                <w:color w:val="auto"/>
              </w:rPr>
              <w:t>(4,410)</w:t>
            </w:r>
          </w:p>
        </w:tc>
        <w:tc>
          <w:tcPr>
            <w:tcW w:w="1160" w:type="dxa"/>
            <w:vAlign w:val="bottom"/>
          </w:tcPr>
          <w:p>
            <w:pPr>
              <w:jc w:val="right"/>
              <w:ind w:right="218"/>
              <w:spacing w:after="0"/>
              <w:rPr>
                <w:sz w:val="20"/>
                <w:szCs w:val="20"/>
                <w:color w:val="auto"/>
              </w:rPr>
            </w:pPr>
            <w:r>
              <w:rPr>
                <w:rFonts w:ascii="Arial" w:cs="Arial" w:eastAsia="Arial" w:hAnsi="Arial"/>
                <w:sz w:val="12"/>
                <w:szCs w:val="12"/>
                <w:color w:val="auto"/>
              </w:rPr>
              <w:t>(5,112)</w:t>
            </w:r>
          </w:p>
        </w:tc>
        <w:tc>
          <w:tcPr>
            <w:tcW w:w="1420" w:type="dxa"/>
            <w:vAlign w:val="bottom"/>
          </w:tcPr>
          <w:p>
            <w:pPr>
              <w:jc w:val="right"/>
              <w:ind w:right="218"/>
              <w:spacing w:after="0"/>
              <w:rPr>
                <w:sz w:val="20"/>
                <w:szCs w:val="20"/>
                <w:color w:val="auto"/>
              </w:rPr>
            </w:pPr>
            <w:r>
              <w:rPr>
                <w:rFonts w:ascii="Arial" w:cs="Arial" w:eastAsia="Arial" w:hAnsi="Arial"/>
                <w:sz w:val="12"/>
                <w:szCs w:val="12"/>
                <w:color w:val="auto"/>
              </w:rPr>
              <w:t>(233)</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4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Marketing and market access expenses</w:t>
            </w:r>
          </w:p>
        </w:tc>
        <w:tc>
          <w:tcPr>
            <w:tcW w:w="1180" w:type="dxa"/>
            <w:vAlign w:val="bottom"/>
            <w:tcBorders>
              <w:bottom w:val="single" w:sz="8" w:color="FDF5E7"/>
            </w:tcBorders>
            <w:gridSpan w:val="2"/>
            <w:shd w:val="clear" w:color="auto" w:fill="FDF5E7"/>
          </w:tcPr>
          <w:p>
            <w:pPr>
              <w:jc w:val="right"/>
              <w:ind w:right="20"/>
              <w:spacing w:after="0"/>
              <w:rPr>
                <w:sz w:val="20"/>
                <w:szCs w:val="20"/>
                <w:color w:val="auto"/>
              </w:rPr>
            </w:pPr>
            <w:r>
              <w:rPr>
                <w:rFonts w:ascii="Arial" w:cs="Arial" w:eastAsia="Arial" w:hAnsi="Arial"/>
                <w:sz w:val="12"/>
                <w:szCs w:val="12"/>
                <w:color w:val="auto"/>
              </w:rPr>
              <w:t>(392)</w:t>
            </w:r>
          </w:p>
        </w:tc>
        <w:tc>
          <w:tcPr>
            <w:tcW w:w="1440" w:type="dxa"/>
            <w:vAlign w:val="bottom"/>
            <w:tcBorders>
              <w:bottom w:val="single" w:sz="8" w:color="FDF5E7"/>
            </w:tcBorders>
            <w:shd w:val="clear" w:color="auto" w:fill="FDF5E7"/>
          </w:tcPr>
          <w:p>
            <w:pPr>
              <w:jc w:val="right"/>
              <w:ind w:right="158"/>
              <w:spacing w:after="0"/>
              <w:rPr>
                <w:sz w:val="20"/>
                <w:szCs w:val="20"/>
                <w:color w:val="auto"/>
              </w:rPr>
            </w:pPr>
            <w:r>
              <w:rPr>
                <w:rFonts w:ascii="Arial" w:cs="Arial" w:eastAsia="Arial" w:hAnsi="Arial"/>
                <w:sz w:val="12"/>
                <w:szCs w:val="12"/>
                <w:color w:val="auto"/>
              </w:rPr>
              <w:t>(4)</w:t>
            </w:r>
          </w:p>
        </w:tc>
        <w:tc>
          <w:tcPr>
            <w:tcW w:w="1320" w:type="dxa"/>
            <w:vAlign w:val="bottom"/>
            <w:tcBorders>
              <w:bottom w:val="single" w:sz="8" w:color="FDF5E7"/>
            </w:tcBorders>
            <w:shd w:val="clear" w:color="auto" w:fill="FDF5E7"/>
          </w:tcPr>
          <w:p>
            <w:pPr>
              <w:jc w:val="right"/>
              <w:ind w:right="178"/>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FDF5E7"/>
            </w:tcBorders>
            <w:shd w:val="clear" w:color="auto" w:fill="FDF5E7"/>
          </w:tcPr>
          <w:p>
            <w:pPr>
              <w:jc w:val="right"/>
              <w:ind w:right="418"/>
              <w:spacing w:after="0"/>
              <w:rPr>
                <w:sz w:val="20"/>
                <w:szCs w:val="20"/>
                <w:color w:val="auto"/>
              </w:rPr>
            </w:pPr>
            <w:r>
              <w:rPr>
                <w:rFonts w:ascii="Arial" w:cs="Arial" w:eastAsia="Arial" w:hAnsi="Arial"/>
                <w:sz w:val="12"/>
                <w:szCs w:val="12"/>
                <w:color w:val="auto"/>
              </w:rPr>
              <w:t>(362)</w:t>
            </w:r>
          </w:p>
        </w:tc>
        <w:tc>
          <w:tcPr>
            <w:tcW w:w="1160" w:type="dxa"/>
            <w:vAlign w:val="bottom"/>
            <w:tcBorders>
              <w:bottom w:val="single" w:sz="8" w:color="FDF5E7"/>
            </w:tcBorders>
            <w:shd w:val="clear" w:color="auto" w:fill="FDF5E7"/>
          </w:tcPr>
          <w:p>
            <w:pPr>
              <w:jc w:val="right"/>
              <w:ind w:right="218"/>
              <w:spacing w:after="0"/>
              <w:rPr>
                <w:sz w:val="20"/>
                <w:szCs w:val="20"/>
                <w:color w:val="auto"/>
              </w:rPr>
            </w:pPr>
            <w:r>
              <w:rPr>
                <w:rFonts w:ascii="Arial" w:cs="Arial" w:eastAsia="Arial" w:hAnsi="Arial"/>
                <w:sz w:val="12"/>
                <w:szCs w:val="12"/>
                <w:color w:val="auto"/>
              </w:rPr>
              <w:t>(23)</w:t>
            </w:r>
          </w:p>
        </w:tc>
        <w:tc>
          <w:tcPr>
            <w:tcW w:w="1420" w:type="dxa"/>
            <w:vAlign w:val="bottom"/>
            <w:tcBorders>
              <w:bottom w:val="single" w:sz="8" w:color="FDF5E7"/>
            </w:tcBorders>
            <w:shd w:val="clear" w:color="auto" w:fill="FDF5E7"/>
          </w:tcPr>
          <w:p>
            <w:pPr>
              <w:jc w:val="right"/>
              <w:ind w:right="218"/>
              <w:spacing w:after="0"/>
              <w:rPr>
                <w:sz w:val="20"/>
                <w:szCs w:val="20"/>
                <w:color w:val="auto"/>
              </w:rPr>
            </w:pPr>
            <w:r>
              <w:rPr>
                <w:rFonts w:ascii="Arial" w:cs="Arial" w:eastAsia="Arial" w:hAnsi="Arial"/>
                <w:sz w:val="12"/>
                <w:szCs w:val="12"/>
                <w:color w:val="auto"/>
              </w:rPr>
              <w:t>(3)</w:t>
            </w:r>
          </w:p>
        </w:tc>
        <w:tc>
          <w:tcPr>
            <w:tcW w:w="9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460" w:type="dxa"/>
            <w:vAlign w:val="bottom"/>
          </w:tcPr>
          <w:p>
            <w:pPr>
              <w:ind w:left="20"/>
              <w:spacing w:after="0"/>
              <w:rPr>
                <w:sz w:val="20"/>
                <w:szCs w:val="20"/>
                <w:color w:val="auto"/>
              </w:rPr>
            </w:pPr>
            <w:r>
              <w:rPr>
                <w:rFonts w:ascii="Arial" w:cs="Arial" w:eastAsia="Arial" w:hAnsi="Arial"/>
                <w:sz w:val="12"/>
                <w:szCs w:val="12"/>
                <w:color w:val="3C3C3B"/>
              </w:rPr>
              <w:t>Other operating income (expenses)</w:t>
            </w:r>
          </w:p>
        </w:tc>
        <w:tc>
          <w:tcPr>
            <w:tcW w:w="1180" w:type="dxa"/>
            <w:vAlign w:val="bottom"/>
            <w:gridSpan w:val="2"/>
          </w:tcPr>
          <w:p>
            <w:pPr>
              <w:jc w:val="right"/>
              <w:ind w:right="20"/>
              <w:spacing w:after="0"/>
              <w:rPr>
                <w:sz w:val="20"/>
                <w:szCs w:val="20"/>
                <w:color w:val="auto"/>
              </w:rPr>
            </w:pPr>
            <w:r>
              <w:rPr>
                <w:rFonts w:ascii="Arial" w:cs="Arial" w:eastAsia="Arial" w:hAnsi="Arial"/>
                <w:sz w:val="12"/>
                <w:szCs w:val="12"/>
                <w:color w:val="auto"/>
              </w:rPr>
              <w:t>(115)</w:t>
            </w:r>
          </w:p>
        </w:tc>
        <w:tc>
          <w:tcPr>
            <w:tcW w:w="144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458"/>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218"/>
              <w:spacing w:after="0"/>
              <w:rPr>
                <w:sz w:val="20"/>
                <w:szCs w:val="20"/>
                <w:color w:val="auto"/>
              </w:rPr>
            </w:pPr>
            <w:r>
              <w:rPr>
                <w:rFonts w:ascii="Arial" w:cs="Arial" w:eastAsia="Arial" w:hAnsi="Arial"/>
                <w:sz w:val="12"/>
                <w:szCs w:val="12"/>
                <w:color w:val="auto"/>
              </w:rPr>
              <w:t>(127)</w:t>
            </w:r>
          </w:p>
        </w:tc>
        <w:tc>
          <w:tcPr>
            <w:tcW w:w="142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26"/>
        </w:trPr>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60" w:type="dxa"/>
            <w:vAlign w:val="bottom"/>
          </w:tcPr>
          <w:p>
            <w:pPr>
              <w:ind w:left="20"/>
              <w:spacing w:after="0"/>
              <w:rPr>
                <w:sz w:val="20"/>
                <w:szCs w:val="20"/>
                <w:color w:val="auto"/>
              </w:rPr>
            </w:pPr>
            <w:r>
              <w:rPr>
                <w:rFonts w:ascii="Arial" w:cs="Arial" w:eastAsia="Arial" w:hAnsi="Arial"/>
                <w:sz w:val="12"/>
                <w:szCs w:val="12"/>
                <w:b w:val="1"/>
                <w:bCs w:val="1"/>
                <w:color w:val="3C3C3B"/>
              </w:rPr>
              <w:t>TOTAL</w:t>
            </w:r>
          </w:p>
        </w:tc>
        <w:tc>
          <w:tcPr>
            <w:tcW w:w="11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E99D25"/>
              </w:rPr>
              <w:t>(35,594)</w:t>
            </w:r>
          </w:p>
        </w:tc>
        <w:tc>
          <w:tcPr>
            <w:tcW w:w="1440" w:type="dxa"/>
            <w:vAlign w:val="bottom"/>
          </w:tcPr>
          <w:p>
            <w:pPr>
              <w:jc w:val="right"/>
              <w:ind w:right="158"/>
              <w:spacing w:after="0"/>
              <w:rPr>
                <w:sz w:val="20"/>
                <w:szCs w:val="20"/>
                <w:color w:val="auto"/>
              </w:rPr>
            </w:pPr>
            <w:r>
              <w:rPr>
                <w:rFonts w:ascii="Arial" w:cs="Arial" w:eastAsia="Arial" w:hAnsi="Arial"/>
                <w:sz w:val="12"/>
                <w:szCs w:val="12"/>
                <w:b w:val="1"/>
                <w:bCs w:val="1"/>
                <w:color w:val="E99D25"/>
              </w:rPr>
              <w:t>(1,241)</w:t>
            </w:r>
          </w:p>
        </w:tc>
        <w:tc>
          <w:tcPr>
            <w:tcW w:w="1320" w:type="dxa"/>
            <w:vAlign w:val="bottom"/>
          </w:tcPr>
          <w:p>
            <w:pPr>
              <w:jc w:val="right"/>
              <w:ind w:right="138"/>
              <w:spacing w:after="0"/>
              <w:rPr>
                <w:sz w:val="20"/>
                <w:szCs w:val="20"/>
                <w:color w:val="auto"/>
              </w:rPr>
            </w:pPr>
            <w:r>
              <w:rPr>
                <w:rFonts w:ascii="Arial" w:cs="Arial" w:eastAsia="Arial" w:hAnsi="Arial"/>
                <w:sz w:val="12"/>
                <w:szCs w:val="12"/>
                <w:b w:val="1"/>
                <w:bCs w:val="1"/>
                <w:color w:val="E99D25"/>
              </w:rPr>
              <w:t>(13,439)</w:t>
            </w:r>
          </w:p>
        </w:tc>
        <w:tc>
          <w:tcPr>
            <w:tcW w:w="1320" w:type="dxa"/>
            <w:vAlign w:val="bottom"/>
          </w:tcPr>
          <w:p>
            <w:pPr>
              <w:jc w:val="right"/>
              <w:ind w:right="418"/>
              <w:spacing w:after="0"/>
              <w:rPr>
                <w:sz w:val="20"/>
                <w:szCs w:val="20"/>
                <w:color w:val="auto"/>
              </w:rPr>
            </w:pPr>
            <w:r>
              <w:rPr>
                <w:rFonts w:ascii="Arial" w:cs="Arial" w:eastAsia="Arial" w:hAnsi="Arial"/>
                <w:sz w:val="12"/>
                <w:szCs w:val="12"/>
                <w:b w:val="1"/>
                <w:bCs w:val="1"/>
                <w:color w:val="E99D25"/>
              </w:rPr>
              <w:t>(12,111)</w:t>
            </w:r>
          </w:p>
        </w:tc>
        <w:tc>
          <w:tcPr>
            <w:tcW w:w="1160" w:type="dxa"/>
            <w:vAlign w:val="bottom"/>
          </w:tcPr>
          <w:p>
            <w:pPr>
              <w:jc w:val="right"/>
              <w:ind w:right="218"/>
              <w:spacing w:after="0"/>
              <w:rPr>
                <w:sz w:val="20"/>
                <w:szCs w:val="20"/>
                <w:color w:val="auto"/>
              </w:rPr>
            </w:pPr>
            <w:r>
              <w:rPr>
                <w:rFonts w:ascii="Arial" w:cs="Arial" w:eastAsia="Arial" w:hAnsi="Arial"/>
                <w:sz w:val="12"/>
                <w:szCs w:val="12"/>
                <w:b w:val="1"/>
                <w:bCs w:val="1"/>
                <w:color w:val="E99D25"/>
              </w:rPr>
              <w:t>(7,854)</w:t>
            </w:r>
          </w:p>
        </w:tc>
        <w:tc>
          <w:tcPr>
            <w:tcW w:w="1420" w:type="dxa"/>
            <w:vAlign w:val="bottom"/>
          </w:tcPr>
          <w:p>
            <w:pPr>
              <w:jc w:val="right"/>
              <w:ind w:right="218"/>
              <w:spacing w:after="0"/>
              <w:rPr>
                <w:sz w:val="20"/>
                <w:szCs w:val="20"/>
                <w:color w:val="auto"/>
              </w:rPr>
            </w:pPr>
            <w:r>
              <w:rPr>
                <w:rFonts w:ascii="Arial" w:cs="Arial" w:eastAsia="Arial" w:hAnsi="Arial"/>
                <w:sz w:val="12"/>
                <w:szCs w:val="12"/>
                <w:b w:val="1"/>
                <w:bCs w:val="1"/>
                <w:color w:val="E99D25"/>
              </w:rPr>
              <w:t>(961)</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E99D25"/>
              </w:rPr>
              <w:t>12</w:t>
            </w:r>
          </w:p>
        </w:tc>
        <w:tc>
          <w:tcPr>
            <w:tcW w:w="0" w:type="dxa"/>
            <w:vAlign w:val="bottom"/>
          </w:tcPr>
          <w:p>
            <w:pPr>
              <w:spacing w:after="0"/>
              <w:rPr>
                <w:sz w:val="1"/>
                <w:szCs w:val="1"/>
                <w:color w:val="auto"/>
              </w:rPr>
            </w:pP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8"/>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27</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33" w:name="page34"/>
    <w:bookmarkEnd w:id="33"/>
    <w:p>
      <w:pPr>
        <w:ind w:left="320"/>
        <w:spacing w:after="0"/>
        <w:rPr>
          <w:sz w:val="20"/>
          <w:szCs w:val="20"/>
          <w:color w:val="auto"/>
        </w:rPr>
      </w:pPr>
      <w:r>
        <w:rPr>
          <w:rFonts w:ascii="Arial" w:cs="Arial" w:eastAsia="Arial" w:hAnsi="Arial"/>
          <w:sz w:val="15"/>
          <w:szCs w:val="15"/>
          <w:b w:val="1"/>
          <w:bCs w:val="1"/>
          <w:u w:val="single" w:color="auto"/>
          <w:color w:val="3C3C3B"/>
        </w:rPr>
        <w:t>2025 Activity</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5"/>
          <w:szCs w:val="15"/>
          <w:i w:val="1"/>
          <w:iCs w:val="1"/>
          <w:u w:val="single" w:color="auto"/>
          <w:color w:val="3C3C3B"/>
        </w:rPr>
        <w:t xml:space="preserve">Research </w:t>
      </w:r>
      <w:r>
        <w:rPr>
          <w:rFonts w:ascii="Arial" w:cs="Arial" w:eastAsia="Arial" w:hAnsi="Arial"/>
          <w:sz w:val="15"/>
          <w:szCs w:val="15"/>
          <w:i w:val="1"/>
          <w:iCs w:val="1"/>
          <w:u w:val="single" w:color="auto"/>
          <w:color w:val="3C3C3B"/>
          <w:highlight w:val="white"/>
        </w:rPr>
        <w:t>and Development Expenses</w:t>
      </w:r>
    </w:p>
    <w:p>
      <w:pPr>
        <w:spacing w:after="0" w:line="183" w:lineRule="exact"/>
        <w:rPr>
          <w:sz w:val="20"/>
          <w:szCs w:val="20"/>
          <w:color w:val="auto"/>
        </w:rPr>
      </w:pPr>
    </w:p>
    <w:p>
      <w:pPr>
        <w:ind w:firstLine="318"/>
        <w:spacing w:after="0" w:line="293" w:lineRule="auto"/>
        <w:rPr>
          <w:sz w:val="20"/>
          <w:szCs w:val="20"/>
          <w:color w:val="auto"/>
        </w:rPr>
      </w:pPr>
      <w:r>
        <w:rPr>
          <w:rFonts w:ascii="Arial" w:cs="Arial" w:eastAsia="Arial" w:hAnsi="Arial"/>
          <w:sz w:val="15"/>
          <w:szCs w:val="15"/>
          <w:color w:val="auto"/>
        </w:rPr>
        <w:t>The increase in research and development expenses is mainly explained by the increase in costs related to GENFIT's product candidates, in particular VS-01, as well as increased staffing levels.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5"/>
          <w:szCs w:val="15"/>
          <w:i w:val="1"/>
          <w:iCs w:val="1"/>
          <w:u w:val="single" w:color="auto"/>
          <w:color w:val="3C3C3B"/>
        </w:rPr>
        <w:t>General and administrative expenses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decrease in general and administrative employee expenses was mainly due to a decrease in related other expenses.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5"/>
          <w:szCs w:val="15"/>
          <w:i w:val="1"/>
          <w:iCs w:val="1"/>
          <w:u w:val="single" w:color="auto"/>
          <w:color w:val="3C3C3B"/>
        </w:rPr>
        <w:t>Marketing and market access expenses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Marketing and market access expenses remained stable period over period.</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Employee expenses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Employee expenses and number of employees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60" w:type="dxa"/>
            <w:vAlign w:val="bottom"/>
          </w:tcPr>
          <w:p>
            <w:pPr>
              <w:ind w:left="20"/>
              <w:spacing w:after="0"/>
              <w:rPr>
                <w:sz w:val="20"/>
                <w:szCs w:val="20"/>
                <w:color w:val="auto"/>
              </w:rPr>
            </w:pPr>
            <w:r>
              <w:rPr>
                <w:rFonts w:ascii="Arial" w:cs="Arial" w:eastAsia="Arial" w:hAnsi="Arial"/>
                <w:sz w:val="12"/>
                <w:szCs w:val="12"/>
                <w:b w:val="1"/>
                <w:bCs w:val="1"/>
                <w:color w:val="3C3C3B"/>
              </w:rPr>
              <w:t>Employee expenses</w:t>
            </w:r>
          </w:p>
        </w:tc>
        <w:tc>
          <w:tcPr>
            <w:tcW w:w="2520" w:type="dxa"/>
            <w:vAlign w:val="bottom"/>
          </w:tcPr>
          <w:p>
            <w:pPr>
              <w:jc w:val="right"/>
              <w:ind w:right="258"/>
              <w:spacing w:after="0"/>
              <w:rPr>
                <w:sz w:val="20"/>
                <w:szCs w:val="20"/>
                <w:color w:val="auto"/>
              </w:rPr>
            </w:pPr>
            <w:r>
              <w:rPr>
                <w:rFonts w:ascii="Arial" w:cs="Arial" w:eastAsia="Arial" w:hAnsi="Arial"/>
                <w:sz w:val="12"/>
                <w:szCs w:val="12"/>
                <w:b w:val="1"/>
                <w:bCs w:val="1"/>
                <w:color w:val="3C3C3B"/>
              </w:rPr>
              <w:t>Half-year ended</w:t>
            </w:r>
          </w:p>
        </w:tc>
        <w:tc>
          <w:tcPr>
            <w:tcW w:w="940" w:type="dxa"/>
            <w:vAlign w:val="bottom"/>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2"/>
        </w:trPr>
        <w:tc>
          <w:tcPr>
            <w:tcW w:w="776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2520" w:type="dxa"/>
            <w:vAlign w:val="bottom"/>
          </w:tcPr>
          <w:p>
            <w:pPr>
              <w:jc w:val="right"/>
              <w:ind w:right="738"/>
              <w:spacing w:after="0"/>
              <w:rPr>
                <w:sz w:val="20"/>
                <w:szCs w:val="20"/>
                <w:color w:val="auto"/>
              </w:rPr>
            </w:pPr>
            <w:r>
              <w:rPr>
                <w:rFonts w:ascii="Arial" w:cs="Arial" w:eastAsia="Arial" w:hAnsi="Arial"/>
                <w:sz w:val="12"/>
                <w:szCs w:val="12"/>
                <w:b w:val="1"/>
                <w:bCs w:val="1"/>
                <w:color w:val="3C3C3B"/>
              </w:rPr>
              <w:t>2024/06/30</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77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2"/>
        </w:trPr>
        <w:tc>
          <w:tcPr>
            <w:tcW w:w="77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Wages and salaries</w:t>
            </w:r>
          </w:p>
        </w:tc>
        <w:tc>
          <w:tcPr>
            <w:tcW w:w="2520" w:type="dxa"/>
            <w:vAlign w:val="bottom"/>
            <w:tcBorders>
              <w:bottom w:val="single" w:sz="8" w:color="FDF5E7"/>
            </w:tcBorders>
            <w:shd w:val="clear" w:color="auto" w:fill="FDF5E7"/>
          </w:tcPr>
          <w:p>
            <w:pPr>
              <w:jc w:val="right"/>
              <w:ind w:right="758"/>
              <w:spacing w:after="0"/>
              <w:rPr>
                <w:sz w:val="20"/>
                <w:szCs w:val="20"/>
                <w:color w:val="auto"/>
              </w:rPr>
            </w:pPr>
            <w:r>
              <w:rPr>
                <w:rFonts w:ascii="Arial" w:cs="Arial" w:eastAsia="Arial" w:hAnsi="Arial"/>
                <w:sz w:val="12"/>
                <w:szCs w:val="12"/>
                <w:color w:val="auto"/>
              </w:rPr>
              <w:t>(7,848)</w:t>
            </w: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(8,401)</w:t>
            </w:r>
          </w:p>
        </w:tc>
      </w:tr>
      <w:tr>
        <w:trPr>
          <w:trHeight w:val="173"/>
        </w:trPr>
        <w:tc>
          <w:tcPr>
            <w:tcW w:w="7760" w:type="dxa"/>
            <w:vAlign w:val="bottom"/>
          </w:tcPr>
          <w:p>
            <w:pPr>
              <w:ind w:left="20"/>
              <w:spacing w:after="0"/>
              <w:rPr>
                <w:sz w:val="20"/>
                <w:szCs w:val="20"/>
                <w:color w:val="auto"/>
              </w:rPr>
            </w:pPr>
            <w:r>
              <w:rPr>
                <w:rFonts w:ascii="Arial" w:cs="Arial" w:eastAsia="Arial" w:hAnsi="Arial"/>
                <w:sz w:val="12"/>
                <w:szCs w:val="12"/>
                <w:color w:val="3C3C3B"/>
              </w:rPr>
              <w:t>Social security costs</w:t>
            </w:r>
          </w:p>
        </w:tc>
        <w:tc>
          <w:tcPr>
            <w:tcW w:w="2520" w:type="dxa"/>
            <w:vAlign w:val="bottom"/>
          </w:tcPr>
          <w:p>
            <w:pPr>
              <w:jc w:val="right"/>
              <w:ind w:right="758"/>
              <w:spacing w:after="0"/>
              <w:rPr>
                <w:sz w:val="20"/>
                <w:szCs w:val="20"/>
                <w:color w:val="auto"/>
              </w:rPr>
            </w:pPr>
            <w:r>
              <w:rPr>
                <w:rFonts w:ascii="Arial" w:cs="Arial" w:eastAsia="Arial" w:hAnsi="Arial"/>
                <w:sz w:val="12"/>
                <w:szCs w:val="12"/>
                <w:color w:val="auto"/>
              </w:rPr>
              <w:t>(3,025)</w:t>
            </w:r>
          </w:p>
        </w:tc>
        <w:tc>
          <w:tcPr>
            <w:tcW w:w="940" w:type="dxa"/>
            <w:vAlign w:val="bottom"/>
          </w:tcPr>
          <w:p>
            <w:pPr>
              <w:jc w:val="right"/>
              <w:spacing w:after="0"/>
              <w:rPr>
                <w:sz w:val="20"/>
                <w:szCs w:val="20"/>
                <w:color w:val="auto"/>
              </w:rPr>
            </w:pPr>
            <w:r>
              <w:rPr>
                <w:rFonts w:ascii="Arial" w:cs="Arial" w:eastAsia="Arial" w:hAnsi="Arial"/>
                <w:sz w:val="12"/>
                <w:szCs w:val="12"/>
                <w:color w:val="auto"/>
              </w:rPr>
              <w:t>(3,361)</w:t>
            </w:r>
          </w:p>
        </w:tc>
      </w:tr>
      <w:tr>
        <w:trPr>
          <w:trHeight w:val="26"/>
        </w:trPr>
        <w:tc>
          <w:tcPr>
            <w:tcW w:w="7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9"/>
        </w:trPr>
        <w:tc>
          <w:tcPr>
            <w:tcW w:w="77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Changes in pension provision</w:t>
            </w:r>
          </w:p>
        </w:tc>
        <w:tc>
          <w:tcPr>
            <w:tcW w:w="2520" w:type="dxa"/>
            <w:vAlign w:val="bottom"/>
            <w:tcBorders>
              <w:bottom w:val="single" w:sz="8" w:color="FDF5E7"/>
            </w:tcBorders>
            <w:shd w:val="clear" w:color="auto" w:fill="FDF5E7"/>
          </w:tcPr>
          <w:p>
            <w:pPr>
              <w:jc w:val="right"/>
              <w:ind w:right="758"/>
              <w:spacing w:after="0"/>
              <w:rPr>
                <w:sz w:val="20"/>
                <w:szCs w:val="20"/>
                <w:color w:val="auto"/>
              </w:rPr>
            </w:pPr>
            <w:r>
              <w:rPr>
                <w:rFonts w:ascii="Arial" w:cs="Arial" w:eastAsia="Arial" w:hAnsi="Arial"/>
                <w:sz w:val="12"/>
                <w:szCs w:val="12"/>
                <w:color w:val="auto"/>
              </w:rPr>
              <w:t>(77)</w:t>
            </w: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(106)</w:t>
            </w:r>
          </w:p>
        </w:tc>
      </w:tr>
      <w:tr>
        <w:trPr>
          <w:trHeight w:val="173"/>
        </w:trPr>
        <w:tc>
          <w:tcPr>
            <w:tcW w:w="7760" w:type="dxa"/>
            <w:vAlign w:val="bottom"/>
          </w:tcPr>
          <w:p>
            <w:pPr>
              <w:ind w:left="20"/>
              <w:spacing w:after="0"/>
              <w:rPr>
                <w:sz w:val="20"/>
                <w:szCs w:val="20"/>
                <w:color w:val="auto"/>
              </w:rPr>
            </w:pPr>
            <w:r>
              <w:rPr>
                <w:rFonts w:ascii="Arial" w:cs="Arial" w:eastAsia="Arial" w:hAnsi="Arial"/>
                <w:sz w:val="12"/>
                <w:szCs w:val="12"/>
                <w:color w:val="3C3C3B"/>
              </w:rPr>
              <w:t>Share-based compensation</w:t>
            </w:r>
          </w:p>
        </w:tc>
        <w:tc>
          <w:tcPr>
            <w:tcW w:w="2520" w:type="dxa"/>
            <w:vAlign w:val="bottom"/>
          </w:tcPr>
          <w:p>
            <w:pPr>
              <w:jc w:val="right"/>
              <w:ind w:right="758"/>
              <w:spacing w:after="0"/>
              <w:rPr>
                <w:sz w:val="20"/>
                <w:szCs w:val="20"/>
                <w:color w:val="auto"/>
              </w:rPr>
            </w:pPr>
            <w:r>
              <w:rPr>
                <w:rFonts w:ascii="Arial" w:cs="Arial" w:eastAsia="Arial" w:hAnsi="Arial"/>
                <w:sz w:val="12"/>
                <w:szCs w:val="12"/>
                <w:color w:val="auto"/>
              </w:rPr>
              <w:t>(334)</w:t>
            </w:r>
          </w:p>
        </w:tc>
        <w:tc>
          <w:tcPr>
            <w:tcW w:w="940" w:type="dxa"/>
            <w:vAlign w:val="bottom"/>
          </w:tcPr>
          <w:p>
            <w:pPr>
              <w:jc w:val="right"/>
              <w:spacing w:after="0"/>
              <w:rPr>
                <w:sz w:val="20"/>
                <w:szCs w:val="20"/>
                <w:color w:val="auto"/>
              </w:rPr>
            </w:pPr>
            <w:r>
              <w:rPr>
                <w:rFonts w:ascii="Arial" w:cs="Arial" w:eastAsia="Arial" w:hAnsi="Arial"/>
                <w:sz w:val="12"/>
                <w:szCs w:val="12"/>
                <w:color w:val="auto"/>
              </w:rPr>
              <w:t>(242)</w:t>
            </w:r>
          </w:p>
        </w:tc>
      </w:tr>
      <w:tr>
        <w:trPr>
          <w:trHeight w:val="26"/>
        </w:trPr>
        <w:tc>
          <w:tcPr>
            <w:tcW w:w="77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2"/>
        </w:trPr>
        <w:tc>
          <w:tcPr>
            <w:tcW w:w="7760" w:type="dxa"/>
            <w:vAlign w:val="bottom"/>
          </w:tcPr>
          <w:p>
            <w:pPr>
              <w:ind w:left="20"/>
              <w:spacing w:after="0"/>
              <w:rPr>
                <w:sz w:val="20"/>
                <w:szCs w:val="20"/>
                <w:color w:val="auto"/>
              </w:rPr>
            </w:pPr>
            <w:r>
              <w:rPr>
                <w:rFonts w:ascii="Arial" w:cs="Arial" w:eastAsia="Arial" w:hAnsi="Arial"/>
                <w:sz w:val="12"/>
                <w:szCs w:val="12"/>
                <w:b w:val="1"/>
                <w:bCs w:val="1"/>
                <w:color w:val="E99D25"/>
              </w:rPr>
              <w:t>TOTAL</w:t>
            </w:r>
          </w:p>
        </w:tc>
        <w:tc>
          <w:tcPr>
            <w:tcW w:w="2520" w:type="dxa"/>
            <w:vAlign w:val="bottom"/>
          </w:tcPr>
          <w:p>
            <w:pPr>
              <w:jc w:val="right"/>
              <w:ind w:right="758"/>
              <w:spacing w:after="0"/>
              <w:rPr>
                <w:sz w:val="20"/>
                <w:szCs w:val="20"/>
                <w:color w:val="auto"/>
              </w:rPr>
            </w:pPr>
            <w:r>
              <w:rPr>
                <w:rFonts w:ascii="Arial" w:cs="Arial" w:eastAsia="Arial" w:hAnsi="Arial"/>
                <w:sz w:val="12"/>
                <w:szCs w:val="12"/>
                <w:b w:val="1"/>
                <w:bCs w:val="1"/>
                <w:color w:val="E79B3F"/>
              </w:rPr>
              <w:t>(11,284)</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E99D25"/>
              </w:rPr>
              <w:t>(12,111)</w:t>
            </w:r>
          </w:p>
        </w:tc>
      </w:tr>
      <w:tr>
        <w:trPr>
          <w:trHeight w:val="20"/>
        </w:trPr>
        <w:tc>
          <w:tcPr>
            <w:tcW w:w="77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63"/>
        </w:trPr>
        <w:tc>
          <w:tcPr>
            <w:tcW w:w="7760" w:type="dxa"/>
            <w:vAlign w:val="bottom"/>
          </w:tcPr>
          <w:p>
            <w:pPr>
              <w:ind w:left="20"/>
              <w:spacing w:after="0"/>
              <w:rPr>
                <w:sz w:val="20"/>
                <w:szCs w:val="20"/>
                <w:color w:val="auto"/>
              </w:rPr>
            </w:pPr>
            <w:r>
              <w:rPr>
                <w:rFonts w:ascii="Arial" w:cs="Arial" w:eastAsia="Arial" w:hAnsi="Arial"/>
                <w:sz w:val="12"/>
                <w:szCs w:val="12"/>
                <w:b w:val="1"/>
                <w:bCs w:val="1"/>
                <w:color w:val="3C3C3B"/>
              </w:rPr>
              <w:t>Number of employees at year-end</w:t>
            </w:r>
          </w:p>
        </w:tc>
        <w:tc>
          <w:tcPr>
            <w:tcW w:w="2520" w:type="dxa"/>
            <w:vAlign w:val="bottom"/>
          </w:tcPr>
          <w:p>
            <w:pPr>
              <w:jc w:val="right"/>
              <w:ind w:right="258"/>
              <w:spacing w:after="0"/>
              <w:rPr>
                <w:sz w:val="20"/>
                <w:szCs w:val="20"/>
                <w:color w:val="auto"/>
              </w:rPr>
            </w:pPr>
            <w:r>
              <w:rPr>
                <w:rFonts w:ascii="Arial" w:cs="Arial" w:eastAsia="Arial" w:hAnsi="Arial"/>
                <w:sz w:val="12"/>
                <w:szCs w:val="12"/>
                <w:b w:val="1"/>
                <w:bCs w:val="1"/>
                <w:color w:val="3C3C3B"/>
              </w:rPr>
              <w:t>Half-year ended</w:t>
            </w:r>
          </w:p>
        </w:tc>
        <w:tc>
          <w:tcPr>
            <w:tcW w:w="940" w:type="dxa"/>
            <w:vAlign w:val="bottom"/>
          </w:tcPr>
          <w:p>
            <w:pPr>
              <w:spacing w:after="0"/>
              <w:rPr>
                <w:sz w:val="24"/>
                <w:szCs w:val="24"/>
                <w:color w:val="auto"/>
              </w:rPr>
            </w:pPr>
          </w:p>
        </w:tc>
      </w:tr>
      <w:tr>
        <w:trPr>
          <w:trHeight w:val="20"/>
        </w:trPr>
        <w:tc>
          <w:tcPr>
            <w:tcW w:w="776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2"/>
        </w:trPr>
        <w:tc>
          <w:tcPr>
            <w:tcW w:w="7760" w:type="dxa"/>
            <w:vAlign w:val="bottom"/>
          </w:tcPr>
          <w:p>
            <w:pPr>
              <w:spacing w:after="0"/>
              <w:rPr>
                <w:sz w:val="14"/>
                <w:szCs w:val="14"/>
                <w:color w:val="auto"/>
              </w:rPr>
            </w:pPr>
          </w:p>
        </w:tc>
        <w:tc>
          <w:tcPr>
            <w:tcW w:w="2520" w:type="dxa"/>
            <w:vAlign w:val="bottom"/>
          </w:tcPr>
          <w:p>
            <w:pPr>
              <w:jc w:val="right"/>
              <w:ind w:right="698"/>
              <w:spacing w:after="0"/>
              <w:rPr>
                <w:sz w:val="20"/>
                <w:szCs w:val="20"/>
                <w:color w:val="auto"/>
              </w:rPr>
            </w:pPr>
            <w:r>
              <w:rPr>
                <w:rFonts w:ascii="Arial" w:cs="Arial" w:eastAsia="Arial" w:hAnsi="Arial"/>
                <w:sz w:val="12"/>
                <w:szCs w:val="12"/>
                <w:b w:val="1"/>
                <w:bCs w:val="1"/>
                <w:color w:val="3C3C3B"/>
              </w:rPr>
              <w:t>2024/06/30</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7760" w:type="dxa"/>
            <w:vAlign w:val="bottom"/>
            <w:tcBorders>
              <w:bottom w:val="single" w:sz="8" w:color="242424"/>
            </w:tcBorders>
          </w:tcPr>
          <w:p>
            <w:pPr>
              <w:spacing w:after="0" w:line="20" w:lineRule="exact"/>
              <w:rPr>
                <w:sz w:val="1"/>
                <w:szCs w:val="1"/>
                <w:color w:val="auto"/>
              </w:rPr>
            </w:pPr>
          </w:p>
        </w:tc>
        <w:tc>
          <w:tcPr>
            <w:tcW w:w="2520" w:type="dxa"/>
            <w:vAlign w:val="bottom"/>
            <w:tcBorders>
              <w:bottom w:val="single" w:sz="8" w:color="242424"/>
            </w:tcBorders>
          </w:tcPr>
          <w:p>
            <w:pPr>
              <w:spacing w:after="0" w:line="20" w:lineRule="exact"/>
              <w:rPr>
                <w:sz w:val="1"/>
                <w:szCs w:val="1"/>
                <w:color w:val="auto"/>
              </w:rPr>
            </w:pPr>
          </w:p>
        </w:tc>
        <w:tc>
          <w:tcPr>
            <w:tcW w:w="940" w:type="dxa"/>
            <w:vAlign w:val="bottom"/>
            <w:tcBorders>
              <w:bottom w:val="single" w:sz="8" w:color="242424"/>
            </w:tcBorders>
          </w:tcPr>
          <w:p>
            <w:pPr>
              <w:spacing w:after="0" w:line="20" w:lineRule="exact"/>
              <w:rPr>
                <w:sz w:val="1"/>
                <w:szCs w:val="1"/>
                <w:color w:val="auto"/>
              </w:rPr>
            </w:pPr>
          </w:p>
        </w:tc>
      </w:tr>
      <w:tr>
        <w:trPr>
          <w:trHeight w:val="166"/>
        </w:trPr>
        <w:tc>
          <w:tcPr>
            <w:tcW w:w="7760" w:type="dxa"/>
            <w:vAlign w:val="bottom"/>
          </w:tcPr>
          <w:p>
            <w:pPr>
              <w:ind w:left="20"/>
              <w:spacing w:after="0"/>
              <w:rPr>
                <w:sz w:val="20"/>
                <w:szCs w:val="20"/>
                <w:color w:val="auto"/>
              </w:rPr>
            </w:pPr>
            <w:r>
              <w:rPr>
                <w:rFonts w:ascii="Arial" w:cs="Arial" w:eastAsia="Arial" w:hAnsi="Arial"/>
                <w:sz w:val="12"/>
                <w:szCs w:val="12"/>
                <w:color w:val="3C3C3B"/>
              </w:rPr>
              <w:t>Average number of employees</w:t>
            </w:r>
          </w:p>
        </w:tc>
        <w:tc>
          <w:tcPr>
            <w:tcW w:w="2520" w:type="dxa"/>
            <w:vAlign w:val="bottom"/>
          </w:tcPr>
          <w:p>
            <w:pPr>
              <w:jc w:val="right"/>
              <w:ind w:right="698"/>
              <w:spacing w:after="0"/>
              <w:rPr>
                <w:sz w:val="20"/>
                <w:szCs w:val="20"/>
                <w:color w:val="auto"/>
              </w:rPr>
            </w:pPr>
            <w:r>
              <w:rPr>
                <w:rFonts w:ascii="Arial" w:cs="Arial" w:eastAsia="Arial" w:hAnsi="Arial"/>
                <w:sz w:val="12"/>
                <w:szCs w:val="12"/>
                <w:color w:val="auto"/>
              </w:rPr>
              <w:t>164</w:t>
            </w:r>
          </w:p>
        </w:tc>
        <w:tc>
          <w:tcPr>
            <w:tcW w:w="940" w:type="dxa"/>
            <w:vAlign w:val="bottom"/>
          </w:tcPr>
          <w:p>
            <w:pPr>
              <w:jc w:val="right"/>
              <w:spacing w:after="0"/>
              <w:rPr>
                <w:sz w:val="20"/>
                <w:szCs w:val="20"/>
                <w:color w:val="auto"/>
              </w:rPr>
            </w:pPr>
            <w:r>
              <w:rPr>
                <w:rFonts w:ascii="Arial" w:cs="Arial" w:eastAsia="Arial" w:hAnsi="Arial"/>
                <w:sz w:val="12"/>
                <w:szCs w:val="12"/>
                <w:color w:val="auto"/>
              </w:rPr>
              <w:t>186</w:t>
            </w:r>
          </w:p>
        </w:tc>
      </w:tr>
      <w:tr>
        <w:trPr>
          <w:trHeight w:val="26"/>
        </w:trPr>
        <w:tc>
          <w:tcPr>
            <w:tcW w:w="7760" w:type="dxa"/>
            <w:vAlign w:val="bottom"/>
            <w:tcBorders>
              <w:bottom w:val="single" w:sz="8" w:color="242424"/>
            </w:tcBorders>
          </w:tcPr>
          <w:p>
            <w:pPr>
              <w:spacing w:after="0"/>
              <w:rPr>
                <w:sz w:val="2"/>
                <w:szCs w:val="2"/>
                <w:color w:val="auto"/>
              </w:rPr>
            </w:pPr>
          </w:p>
        </w:tc>
        <w:tc>
          <w:tcPr>
            <w:tcW w:w="2520" w:type="dxa"/>
            <w:vAlign w:val="bottom"/>
            <w:tcBorders>
              <w:bottom w:val="single" w:sz="8" w:color="242424"/>
            </w:tcBorders>
          </w:tcPr>
          <w:p>
            <w:pPr>
              <w:spacing w:after="0"/>
              <w:rPr>
                <w:sz w:val="2"/>
                <w:szCs w:val="2"/>
                <w:color w:val="auto"/>
              </w:rPr>
            </w:pPr>
          </w:p>
        </w:tc>
        <w:tc>
          <w:tcPr>
            <w:tcW w:w="940" w:type="dxa"/>
            <w:vAlign w:val="bottom"/>
            <w:tcBorders>
              <w:bottom w:val="single" w:sz="8" w:color="242424"/>
            </w:tcBorders>
          </w:tcPr>
          <w:p>
            <w:pPr>
              <w:spacing w:after="0"/>
              <w:rPr>
                <w:sz w:val="2"/>
                <w:szCs w:val="2"/>
                <w:color w:val="auto"/>
              </w:rPr>
            </w:pPr>
          </w:p>
        </w:tc>
      </w:tr>
      <w:tr>
        <w:trPr>
          <w:trHeight w:val="172"/>
        </w:trPr>
        <w:tc>
          <w:tcPr>
            <w:tcW w:w="7760" w:type="dxa"/>
            <w:vAlign w:val="bottom"/>
          </w:tcPr>
          <w:p>
            <w:pPr>
              <w:ind w:left="20"/>
              <w:spacing w:after="0"/>
              <w:rPr>
                <w:sz w:val="20"/>
                <w:szCs w:val="20"/>
                <w:color w:val="auto"/>
              </w:rPr>
            </w:pPr>
            <w:r>
              <w:rPr>
                <w:rFonts w:ascii="Arial" w:cs="Arial" w:eastAsia="Arial" w:hAnsi="Arial"/>
                <w:sz w:val="12"/>
                <w:szCs w:val="12"/>
                <w:b w:val="1"/>
                <w:bCs w:val="1"/>
                <w:color w:val="E99D25"/>
              </w:rPr>
              <w:t>Number of employees</w:t>
            </w:r>
          </w:p>
        </w:tc>
        <w:tc>
          <w:tcPr>
            <w:tcW w:w="25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7760" w:type="dxa"/>
            <w:vAlign w:val="bottom"/>
            <w:tcBorders>
              <w:bottom w:val="single" w:sz="8" w:color="E99D25"/>
            </w:tcBorders>
          </w:tcPr>
          <w:p>
            <w:pPr>
              <w:spacing w:after="0" w:line="20" w:lineRule="exact"/>
              <w:rPr>
                <w:sz w:val="1"/>
                <w:szCs w:val="1"/>
                <w:color w:val="auto"/>
              </w:rPr>
            </w:pPr>
          </w:p>
        </w:tc>
        <w:tc>
          <w:tcPr>
            <w:tcW w:w="2520" w:type="dxa"/>
            <w:vAlign w:val="bottom"/>
            <w:tcBorders>
              <w:bottom w:val="single" w:sz="8" w:color="E99D25"/>
            </w:tcBorders>
          </w:tcPr>
          <w:p>
            <w:pPr>
              <w:spacing w:after="0" w:line="20" w:lineRule="exact"/>
              <w:rPr>
                <w:sz w:val="1"/>
                <w:szCs w:val="1"/>
                <w:color w:val="auto"/>
              </w:rPr>
            </w:pPr>
          </w:p>
        </w:tc>
        <w:tc>
          <w:tcPr>
            <w:tcW w:w="940" w:type="dxa"/>
            <w:vAlign w:val="bottom"/>
            <w:tcBorders>
              <w:bottom w:val="single" w:sz="8" w:color="E99D25"/>
            </w:tcBorders>
          </w:tcPr>
          <w:p>
            <w:pPr>
              <w:spacing w:after="0" w:line="20" w:lineRule="exact"/>
              <w:rPr>
                <w:sz w:val="1"/>
                <w:szCs w:val="1"/>
                <w:color w:val="auto"/>
              </w:rPr>
            </w:pPr>
          </w:p>
        </w:tc>
      </w:tr>
      <w:tr>
        <w:trPr>
          <w:trHeight w:val="172"/>
        </w:trPr>
        <w:tc>
          <w:tcPr>
            <w:tcW w:w="77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Research and development</w:t>
            </w:r>
          </w:p>
        </w:tc>
        <w:tc>
          <w:tcPr>
            <w:tcW w:w="2520" w:type="dxa"/>
            <w:vAlign w:val="bottom"/>
            <w:tcBorders>
              <w:bottom w:val="single" w:sz="8" w:color="FDF5E7"/>
            </w:tcBorders>
            <w:shd w:val="clear" w:color="auto" w:fill="FDF5E7"/>
          </w:tcPr>
          <w:p>
            <w:pPr>
              <w:jc w:val="right"/>
              <w:ind w:right="698"/>
              <w:spacing w:after="0"/>
              <w:rPr>
                <w:sz w:val="20"/>
                <w:szCs w:val="20"/>
                <w:color w:val="auto"/>
              </w:rPr>
            </w:pPr>
            <w:r>
              <w:rPr>
                <w:rFonts w:ascii="Arial" w:cs="Arial" w:eastAsia="Arial" w:hAnsi="Arial"/>
                <w:sz w:val="12"/>
                <w:szCs w:val="12"/>
                <w:color w:val="auto"/>
              </w:rPr>
              <w:t>86</w:t>
            </w: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100</w:t>
            </w:r>
          </w:p>
        </w:tc>
      </w:tr>
      <w:tr>
        <w:trPr>
          <w:trHeight w:val="173"/>
        </w:trPr>
        <w:tc>
          <w:tcPr>
            <w:tcW w:w="7760" w:type="dxa"/>
            <w:vAlign w:val="bottom"/>
          </w:tcPr>
          <w:p>
            <w:pPr>
              <w:ind w:left="20"/>
              <w:spacing w:after="0"/>
              <w:rPr>
                <w:sz w:val="20"/>
                <w:szCs w:val="20"/>
                <w:color w:val="auto"/>
              </w:rPr>
            </w:pPr>
            <w:r>
              <w:rPr>
                <w:rFonts w:ascii="Arial" w:cs="Arial" w:eastAsia="Arial" w:hAnsi="Arial"/>
                <w:sz w:val="12"/>
                <w:szCs w:val="12"/>
                <w:color w:val="3C3C3B"/>
              </w:rPr>
              <w:t>Services related to research and development</w:t>
            </w:r>
          </w:p>
        </w:tc>
        <w:tc>
          <w:tcPr>
            <w:tcW w:w="2520" w:type="dxa"/>
            <w:vAlign w:val="bottom"/>
          </w:tcPr>
          <w:p>
            <w:pPr>
              <w:jc w:val="right"/>
              <w:ind w:right="698"/>
              <w:spacing w:after="0"/>
              <w:rPr>
                <w:sz w:val="20"/>
                <w:szCs w:val="20"/>
                <w:color w:val="auto"/>
              </w:rPr>
            </w:pPr>
            <w:r>
              <w:rPr>
                <w:rFonts w:ascii="Arial" w:cs="Arial" w:eastAsia="Arial" w:hAnsi="Arial"/>
                <w:sz w:val="12"/>
                <w:szCs w:val="12"/>
                <w:color w:val="auto"/>
              </w:rPr>
              <w:t>20</w:t>
            </w:r>
          </w:p>
        </w:tc>
        <w:tc>
          <w:tcPr>
            <w:tcW w:w="94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26"/>
        </w:trPr>
        <w:tc>
          <w:tcPr>
            <w:tcW w:w="7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9"/>
        </w:trPr>
        <w:tc>
          <w:tcPr>
            <w:tcW w:w="77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Administration and management</w:t>
            </w:r>
          </w:p>
        </w:tc>
        <w:tc>
          <w:tcPr>
            <w:tcW w:w="2520" w:type="dxa"/>
            <w:vAlign w:val="bottom"/>
            <w:tcBorders>
              <w:bottom w:val="single" w:sz="8" w:color="FDF5E7"/>
            </w:tcBorders>
            <w:shd w:val="clear" w:color="auto" w:fill="FDF5E7"/>
          </w:tcPr>
          <w:p>
            <w:pPr>
              <w:jc w:val="right"/>
              <w:ind w:right="698"/>
              <w:spacing w:after="0"/>
              <w:rPr>
                <w:sz w:val="20"/>
                <w:szCs w:val="20"/>
                <w:color w:val="auto"/>
              </w:rPr>
            </w:pPr>
            <w:r>
              <w:rPr>
                <w:rFonts w:ascii="Arial" w:cs="Arial" w:eastAsia="Arial" w:hAnsi="Arial"/>
                <w:sz w:val="12"/>
                <w:szCs w:val="12"/>
                <w:color w:val="auto"/>
              </w:rPr>
              <w:t>61</w:t>
            </w: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64</w:t>
            </w:r>
          </w:p>
        </w:tc>
      </w:tr>
      <w:tr>
        <w:trPr>
          <w:trHeight w:val="173"/>
        </w:trPr>
        <w:tc>
          <w:tcPr>
            <w:tcW w:w="7760" w:type="dxa"/>
            <w:vAlign w:val="bottom"/>
          </w:tcPr>
          <w:p>
            <w:pPr>
              <w:ind w:left="20"/>
              <w:spacing w:after="0"/>
              <w:rPr>
                <w:sz w:val="20"/>
                <w:szCs w:val="20"/>
                <w:color w:val="auto"/>
              </w:rPr>
            </w:pPr>
            <w:r>
              <w:rPr>
                <w:rFonts w:ascii="Arial" w:cs="Arial" w:eastAsia="Arial" w:hAnsi="Arial"/>
                <w:sz w:val="12"/>
                <w:szCs w:val="12"/>
                <w:color w:val="3C3C3B"/>
              </w:rPr>
              <w:t>Marketing and commercial</w:t>
            </w:r>
          </w:p>
        </w:tc>
        <w:tc>
          <w:tcPr>
            <w:tcW w:w="2520" w:type="dxa"/>
            <w:vAlign w:val="bottom"/>
          </w:tcPr>
          <w:p>
            <w:pPr>
              <w:jc w:val="right"/>
              <w:ind w:right="698"/>
              <w:spacing w:after="0"/>
              <w:rPr>
                <w:sz w:val="20"/>
                <w:szCs w:val="20"/>
                <w:color w:val="auto"/>
              </w:rPr>
            </w:pPr>
            <w:r>
              <w:rPr>
                <w:rFonts w:ascii="Arial" w:cs="Arial" w:eastAsia="Arial" w:hAnsi="Arial"/>
                <w:sz w:val="12"/>
                <w:szCs w:val="12"/>
                <w:color w:val="auto"/>
              </w:rPr>
              <w:t>2</w:t>
            </w:r>
          </w:p>
        </w:tc>
        <w:tc>
          <w:tcPr>
            <w:tcW w:w="94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6"/>
        </w:trPr>
        <w:tc>
          <w:tcPr>
            <w:tcW w:w="77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2"/>
        </w:trPr>
        <w:tc>
          <w:tcPr>
            <w:tcW w:w="7760" w:type="dxa"/>
            <w:vAlign w:val="bottom"/>
          </w:tcPr>
          <w:p>
            <w:pPr>
              <w:ind w:left="20"/>
              <w:spacing w:after="0"/>
              <w:rPr>
                <w:sz w:val="20"/>
                <w:szCs w:val="20"/>
                <w:color w:val="auto"/>
              </w:rPr>
            </w:pPr>
            <w:r>
              <w:rPr>
                <w:rFonts w:ascii="Arial" w:cs="Arial" w:eastAsia="Arial" w:hAnsi="Arial"/>
                <w:sz w:val="12"/>
                <w:szCs w:val="12"/>
                <w:b w:val="1"/>
                <w:bCs w:val="1"/>
                <w:color w:val="E99D25"/>
              </w:rPr>
              <w:t>TOTAL</w:t>
            </w:r>
          </w:p>
        </w:tc>
        <w:tc>
          <w:tcPr>
            <w:tcW w:w="2520" w:type="dxa"/>
            <w:vAlign w:val="bottom"/>
          </w:tcPr>
          <w:p>
            <w:pPr>
              <w:jc w:val="right"/>
              <w:ind w:right="738"/>
              <w:spacing w:after="0"/>
              <w:rPr>
                <w:sz w:val="20"/>
                <w:szCs w:val="20"/>
                <w:color w:val="auto"/>
              </w:rPr>
            </w:pPr>
            <w:r>
              <w:rPr>
                <w:rFonts w:ascii="Arial" w:cs="Arial" w:eastAsia="Arial" w:hAnsi="Arial"/>
                <w:sz w:val="12"/>
                <w:szCs w:val="12"/>
                <w:b w:val="1"/>
                <w:bCs w:val="1"/>
                <w:color w:val="E79B3F"/>
              </w:rPr>
              <w:t>169</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E99D25"/>
              </w:rPr>
              <w:t>188</w:t>
            </w:r>
          </w:p>
        </w:tc>
      </w:tr>
      <w:tr>
        <w:trPr>
          <w:trHeight w:val="20"/>
        </w:trPr>
        <w:tc>
          <w:tcPr>
            <w:tcW w:w="77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increase in employee expenses resulted mainly from an increase in workforce, with an average headcount from 164 in 2024 to 186 in 2025.</w:t>
      </w:r>
    </w:p>
    <w:p>
      <w:pPr>
        <w:spacing w:after="0" w:line="281" w:lineRule="exact"/>
        <w:rPr>
          <w:sz w:val="20"/>
          <w:szCs w:val="20"/>
          <w:color w:val="auto"/>
        </w:rPr>
      </w:pPr>
    </w:p>
    <w:p>
      <w:pPr>
        <w:ind w:left="480" w:hanging="474"/>
        <w:spacing w:after="0"/>
        <w:tabs>
          <w:tab w:leader="none" w:pos="480" w:val="left"/>
        </w:tabs>
        <w:numPr>
          <w:ilvl w:val="0"/>
          <w:numId w:val="43"/>
        </w:numPr>
        <w:rPr>
          <w:rFonts w:ascii="Arial" w:cs="Arial" w:eastAsia="Arial" w:hAnsi="Arial"/>
          <w:sz w:val="16"/>
          <w:szCs w:val="16"/>
          <w:b w:val="1"/>
          <w:bCs w:val="1"/>
          <w:color w:val="E99D25"/>
        </w:rPr>
      </w:pPr>
      <w:r>
        <w:rPr>
          <w:rFonts w:ascii="Arial" w:cs="Arial" w:eastAsia="Arial" w:hAnsi="Arial"/>
          <w:sz w:val="16"/>
          <w:szCs w:val="16"/>
          <w:b w:val="1"/>
          <w:bCs w:val="1"/>
          <w:color w:val="E99D25"/>
        </w:rPr>
        <w:t>FINANCIAL INCOME AND EXPENSES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60" w:type="dxa"/>
            <w:vAlign w:val="bottom"/>
          </w:tcPr>
          <w:p>
            <w:pPr>
              <w:ind w:left="20"/>
              <w:spacing w:after="0"/>
              <w:rPr>
                <w:sz w:val="20"/>
                <w:szCs w:val="20"/>
                <w:color w:val="auto"/>
              </w:rPr>
            </w:pPr>
            <w:r>
              <w:rPr>
                <w:rFonts w:ascii="Arial" w:cs="Arial" w:eastAsia="Arial" w:hAnsi="Arial"/>
                <w:sz w:val="12"/>
                <w:szCs w:val="12"/>
                <w:b w:val="1"/>
                <w:bCs w:val="1"/>
                <w:color w:val="3C3C3B"/>
              </w:rPr>
              <w:t>Financial income and expenses</w:t>
            </w:r>
          </w:p>
        </w:tc>
        <w:tc>
          <w:tcPr>
            <w:tcW w:w="2520" w:type="dxa"/>
            <w:vAlign w:val="bottom"/>
          </w:tcPr>
          <w:p>
            <w:pPr>
              <w:jc w:val="right"/>
              <w:ind w:right="258"/>
              <w:spacing w:after="0"/>
              <w:rPr>
                <w:sz w:val="20"/>
                <w:szCs w:val="20"/>
                <w:color w:val="auto"/>
              </w:rPr>
            </w:pPr>
            <w:r>
              <w:rPr>
                <w:rFonts w:ascii="Arial" w:cs="Arial" w:eastAsia="Arial" w:hAnsi="Arial"/>
                <w:sz w:val="12"/>
                <w:szCs w:val="12"/>
                <w:b w:val="1"/>
                <w:bCs w:val="1"/>
                <w:color w:val="3C3C3B"/>
              </w:rPr>
              <w:t>Half-year ended</w:t>
            </w:r>
          </w:p>
        </w:tc>
        <w:tc>
          <w:tcPr>
            <w:tcW w:w="940" w:type="dxa"/>
            <w:vAlign w:val="bottom"/>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2"/>
        </w:trPr>
        <w:tc>
          <w:tcPr>
            <w:tcW w:w="776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2520" w:type="dxa"/>
            <w:vAlign w:val="bottom"/>
          </w:tcPr>
          <w:p>
            <w:pPr>
              <w:jc w:val="right"/>
              <w:ind w:right="738"/>
              <w:spacing w:after="0"/>
              <w:rPr>
                <w:sz w:val="20"/>
                <w:szCs w:val="20"/>
                <w:color w:val="auto"/>
              </w:rPr>
            </w:pPr>
            <w:r>
              <w:rPr>
                <w:rFonts w:ascii="Arial" w:cs="Arial" w:eastAsia="Arial" w:hAnsi="Arial"/>
                <w:sz w:val="12"/>
                <w:szCs w:val="12"/>
                <w:b w:val="1"/>
                <w:bCs w:val="1"/>
                <w:color w:val="3C3C3B"/>
              </w:rPr>
              <w:t>2024/06/30</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77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2"/>
        </w:trPr>
        <w:tc>
          <w:tcPr>
            <w:tcW w:w="7760" w:type="dxa"/>
            <w:vAlign w:val="bottom"/>
          </w:tcPr>
          <w:p>
            <w:pPr>
              <w:ind w:left="20"/>
              <w:spacing w:after="0"/>
              <w:rPr>
                <w:sz w:val="20"/>
                <w:szCs w:val="20"/>
                <w:color w:val="auto"/>
              </w:rPr>
            </w:pPr>
            <w:r>
              <w:rPr>
                <w:rFonts w:ascii="Arial" w:cs="Arial" w:eastAsia="Arial" w:hAnsi="Arial"/>
                <w:sz w:val="12"/>
                <w:szCs w:val="12"/>
                <w:b w:val="1"/>
                <w:bCs w:val="1"/>
                <w:color w:val="3C3C3B"/>
              </w:rPr>
              <w:t>Financial income</w:t>
            </w:r>
          </w:p>
        </w:tc>
        <w:tc>
          <w:tcPr>
            <w:tcW w:w="25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9"/>
        </w:trPr>
        <w:tc>
          <w:tcPr>
            <w:tcW w:w="77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Interest income</w:t>
            </w:r>
          </w:p>
        </w:tc>
        <w:tc>
          <w:tcPr>
            <w:tcW w:w="2520" w:type="dxa"/>
            <w:vAlign w:val="bottom"/>
            <w:tcBorders>
              <w:bottom w:val="single" w:sz="8" w:color="FDF5E7"/>
            </w:tcBorders>
            <w:shd w:val="clear" w:color="auto" w:fill="FDF5E7"/>
          </w:tcPr>
          <w:p>
            <w:pPr>
              <w:jc w:val="right"/>
              <w:ind w:right="738"/>
              <w:spacing w:after="0"/>
              <w:rPr>
                <w:sz w:val="20"/>
                <w:szCs w:val="20"/>
                <w:color w:val="auto"/>
              </w:rPr>
            </w:pPr>
            <w:r>
              <w:rPr>
                <w:rFonts w:ascii="Arial" w:cs="Arial" w:eastAsia="Arial" w:hAnsi="Arial"/>
                <w:sz w:val="12"/>
                <w:szCs w:val="12"/>
                <w:color w:val="auto"/>
              </w:rPr>
              <w:t>535</w:t>
            </w: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295</w:t>
            </w:r>
          </w:p>
        </w:tc>
      </w:tr>
      <w:tr>
        <w:trPr>
          <w:trHeight w:val="173"/>
        </w:trPr>
        <w:tc>
          <w:tcPr>
            <w:tcW w:w="7760" w:type="dxa"/>
            <w:vAlign w:val="bottom"/>
          </w:tcPr>
          <w:p>
            <w:pPr>
              <w:ind w:left="20"/>
              <w:spacing w:after="0"/>
              <w:rPr>
                <w:sz w:val="20"/>
                <w:szCs w:val="20"/>
                <w:color w:val="auto"/>
              </w:rPr>
            </w:pPr>
            <w:r>
              <w:rPr>
                <w:rFonts w:ascii="Arial" w:cs="Arial" w:eastAsia="Arial" w:hAnsi="Arial"/>
                <w:sz w:val="12"/>
                <w:szCs w:val="12"/>
                <w:color w:val="3C3C3B"/>
              </w:rPr>
              <w:t>Foreign exchange gain</w:t>
            </w:r>
          </w:p>
        </w:tc>
        <w:tc>
          <w:tcPr>
            <w:tcW w:w="2520" w:type="dxa"/>
            <w:vAlign w:val="bottom"/>
          </w:tcPr>
          <w:p>
            <w:pPr>
              <w:jc w:val="right"/>
              <w:ind w:right="738"/>
              <w:spacing w:after="0"/>
              <w:rPr>
                <w:sz w:val="20"/>
                <w:szCs w:val="20"/>
                <w:color w:val="auto"/>
              </w:rPr>
            </w:pPr>
            <w:r>
              <w:rPr>
                <w:rFonts w:ascii="Arial" w:cs="Arial" w:eastAsia="Arial" w:hAnsi="Arial"/>
                <w:sz w:val="12"/>
                <w:szCs w:val="12"/>
                <w:color w:val="auto"/>
              </w:rPr>
              <w:t>271</w:t>
            </w:r>
          </w:p>
        </w:tc>
        <w:tc>
          <w:tcPr>
            <w:tcW w:w="940" w:type="dxa"/>
            <w:vAlign w:val="bottom"/>
          </w:tcPr>
          <w:p>
            <w:pPr>
              <w:jc w:val="right"/>
              <w:spacing w:after="0"/>
              <w:rPr>
                <w:sz w:val="20"/>
                <w:szCs w:val="20"/>
                <w:color w:val="auto"/>
              </w:rPr>
            </w:pPr>
            <w:r>
              <w:rPr>
                <w:rFonts w:ascii="Arial" w:cs="Arial" w:eastAsia="Arial" w:hAnsi="Arial"/>
                <w:sz w:val="12"/>
                <w:szCs w:val="12"/>
                <w:color w:val="auto"/>
              </w:rPr>
              <w:t>322</w:t>
            </w:r>
          </w:p>
        </w:tc>
      </w:tr>
      <w:tr>
        <w:trPr>
          <w:trHeight w:val="26"/>
        </w:trPr>
        <w:tc>
          <w:tcPr>
            <w:tcW w:w="7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9"/>
        </w:trPr>
        <w:tc>
          <w:tcPr>
            <w:tcW w:w="7760" w:type="dxa"/>
            <w:vAlign w:val="bottom"/>
            <w:tcBorders>
              <w:bottom w:val="single" w:sz="8" w:color="FDF6EA"/>
            </w:tcBorders>
            <w:shd w:val="clear" w:color="auto" w:fill="FDF6EA"/>
          </w:tcPr>
          <w:p>
            <w:pPr>
              <w:ind w:left="20"/>
              <w:spacing w:after="0"/>
              <w:rPr>
                <w:sz w:val="20"/>
                <w:szCs w:val="20"/>
                <w:color w:val="auto"/>
              </w:rPr>
            </w:pPr>
            <w:r>
              <w:rPr>
                <w:rFonts w:ascii="Arial" w:cs="Arial" w:eastAsia="Arial" w:hAnsi="Arial"/>
                <w:sz w:val="12"/>
                <w:szCs w:val="12"/>
                <w:color w:val="3C3C3B"/>
              </w:rPr>
              <w:t>Financial income from OCEANE repurchase</w:t>
            </w:r>
          </w:p>
        </w:tc>
        <w:tc>
          <w:tcPr>
            <w:tcW w:w="2520" w:type="dxa"/>
            <w:vAlign w:val="bottom"/>
            <w:tcBorders>
              <w:bottom w:val="single" w:sz="8" w:color="FDF6EA"/>
            </w:tcBorders>
            <w:shd w:val="clear" w:color="auto" w:fill="FDF6EA"/>
          </w:tcPr>
          <w:p>
            <w:pPr>
              <w:jc w:val="right"/>
              <w:ind w:right="738"/>
              <w:spacing w:after="0"/>
              <w:rPr>
                <w:sz w:val="20"/>
                <w:szCs w:val="20"/>
                <w:color w:val="auto"/>
              </w:rPr>
            </w:pPr>
            <w:r>
              <w:rPr>
                <w:rFonts w:ascii="Arial" w:cs="Arial" w:eastAsia="Arial" w:hAnsi="Arial"/>
                <w:sz w:val="12"/>
                <w:szCs w:val="12"/>
                <w:color w:val="auto"/>
              </w:rPr>
              <w:t>0</w:t>
            </w:r>
          </w:p>
        </w:tc>
        <w:tc>
          <w:tcPr>
            <w:tcW w:w="940" w:type="dxa"/>
            <w:vAlign w:val="bottom"/>
            <w:tcBorders>
              <w:bottom w:val="single" w:sz="8" w:color="FDF6EA"/>
            </w:tcBorders>
            <w:shd w:val="clear" w:color="auto" w:fill="FDF6EA"/>
          </w:tcPr>
          <w:p>
            <w:pPr>
              <w:jc w:val="right"/>
              <w:spacing w:after="0"/>
              <w:rPr>
                <w:sz w:val="20"/>
                <w:szCs w:val="20"/>
                <w:color w:val="auto"/>
              </w:rPr>
            </w:pPr>
            <w:r>
              <w:rPr>
                <w:rFonts w:ascii="Arial" w:cs="Arial" w:eastAsia="Arial" w:hAnsi="Arial"/>
                <w:sz w:val="12"/>
                <w:szCs w:val="12"/>
                <w:color w:val="auto"/>
              </w:rPr>
              <w:t>326</w:t>
            </w:r>
          </w:p>
        </w:tc>
      </w:tr>
      <w:tr>
        <w:trPr>
          <w:trHeight w:val="173"/>
        </w:trPr>
        <w:tc>
          <w:tcPr>
            <w:tcW w:w="7760" w:type="dxa"/>
            <w:vAlign w:val="bottom"/>
          </w:tcPr>
          <w:p>
            <w:pPr>
              <w:ind w:left="20"/>
              <w:spacing w:after="0"/>
              <w:rPr>
                <w:sz w:val="20"/>
                <w:szCs w:val="20"/>
                <w:color w:val="auto"/>
              </w:rPr>
            </w:pPr>
            <w:r>
              <w:rPr>
                <w:rFonts w:ascii="Arial" w:cs="Arial" w:eastAsia="Arial" w:hAnsi="Arial"/>
                <w:sz w:val="12"/>
                <w:szCs w:val="12"/>
                <w:color w:val="3C3C3B"/>
              </w:rPr>
              <w:t>Other financial income</w:t>
            </w:r>
          </w:p>
        </w:tc>
        <w:tc>
          <w:tcPr>
            <w:tcW w:w="2520" w:type="dxa"/>
            <w:vAlign w:val="bottom"/>
          </w:tcPr>
          <w:p>
            <w:pPr>
              <w:jc w:val="right"/>
              <w:ind w:right="738"/>
              <w:spacing w:after="0"/>
              <w:rPr>
                <w:sz w:val="20"/>
                <w:szCs w:val="20"/>
                <w:color w:val="auto"/>
              </w:rPr>
            </w:pPr>
            <w:r>
              <w:rPr>
                <w:rFonts w:ascii="Arial" w:cs="Arial" w:eastAsia="Arial" w:hAnsi="Arial"/>
                <w:sz w:val="12"/>
                <w:szCs w:val="12"/>
                <w:color w:val="auto"/>
              </w:rPr>
              <w:t>740</w:t>
            </w:r>
          </w:p>
        </w:tc>
        <w:tc>
          <w:tcPr>
            <w:tcW w:w="940" w:type="dxa"/>
            <w:vAlign w:val="bottom"/>
          </w:tcPr>
          <w:p>
            <w:pPr>
              <w:jc w:val="right"/>
              <w:spacing w:after="0"/>
              <w:rPr>
                <w:sz w:val="20"/>
                <w:szCs w:val="20"/>
                <w:color w:val="auto"/>
              </w:rPr>
            </w:pPr>
            <w:r>
              <w:rPr>
                <w:rFonts w:ascii="Arial" w:cs="Arial" w:eastAsia="Arial" w:hAnsi="Arial"/>
                <w:sz w:val="12"/>
                <w:szCs w:val="12"/>
                <w:color w:val="auto"/>
              </w:rPr>
              <w:t>906</w:t>
            </w:r>
          </w:p>
        </w:tc>
      </w:tr>
      <w:tr>
        <w:trPr>
          <w:trHeight w:val="26"/>
        </w:trPr>
        <w:tc>
          <w:tcPr>
            <w:tcW w:w="77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2"/>
        </w:trPr>
        <w:tc>
          <w:tcPr>
            <w:tcW w:w="7760" w:type="dxa"/>
            <w:vAlign w:val="bottom"/>
          </w:tcPr>
          <w:p>
            <w:pPr>
              <w:ind w:left="20"/>
              <w:spacing w:after="0"/>
              <w:rPr>
                <w:sz w:val="20"/>
                <w:szCs w:val="20"/>
                <w:color w:val="auto"/>
              </w:rPr>
            </w:pPr>
            <w:r>
              <w:rPr>
                <w:rFonts w:ascii="Arial" w:cs="Arial" w:eastAsia="Arial" w:hAnsi="Arial"/>
                <w:sz w:val="12"/>
                <w:szCs w:val="12"/>
                <w:b w:val="1"/>
                <w:bCs w:val="1"/>
                <w:i w:val="1"/>
                <w:iCs w:val="1"/>
                <w:color w:val="3C3C3B"/>
              </w:rPr>
              <w:t>TOTAL - Financial income</w:t>
            </w:r>
          </w:p>
        </w:tc>
        <w:tc>
          <w:tcPr>
            <w:tcW w:w="2520" w:type="dxa"/>
            <w:vAlign w:val="bottom"/>
          </w:tcPr>
          <w:p>
            <w:pPr>
              <w:jc w:val="right"/>
              <w:ind w:right="738"/>
              <w:spacing w:after="0"/>
              <w:rPr>
                <w:sz w:val="20"/>
                <w:szCs w:val="20"/>
                <w:color w:val="auto"/>
              </w:rPr>
            </w:pPr>
            <w:r>
              <w:rPr>
                <w:rFonts w:ascii="Arial" w:cs="Arial" w:eastAsia="Arial" w:hAnsi="Arial"/>
                <w:sz w:val="12"/>
                <w:szCs w:val="12"/>
                <w:b w:val="1"/>
                <w:bCs w:val="1"/>
                <w:i w:val="1"/>
                <w:iCs w:val="1"/>
                <w:color w:val="auto"/>
              </w:rPr>
              <w:t>1,546</w:t>
            </w:r>
          </w:p>
        </w:tc>
        <w:tc>
          <w:tcPr>
            <w:tcW w:w="9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1,850</w:t>
            </w:r>
          </w:p>
        </w:tc>
      </w:tr>
      <w:tr>
        <w:trPr>
          <w:trHeight w:val="20"/>
        </w:trPr>
        <w:tc>
          <w:tcPr>
            <w:tcW w:w="77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2"/>
        </w:trPr>
        <w:tc>
          <w:tcPr>
            <w:tcW w:w="7760" w:type="dxa"/>
            <w:vAlign w:val="bottom"/>
          </w:tcPr>
          <w:p>
            <w:pPr>
              <w:ind w:left="20"/>
              <w:spacing w:after="0"/>
              <w:rPr>
                <w:sz w:val="20"/>
                <w:szCs w:val="20"/>
                <w:color w:val="auto"/>
              </w:rPr>
            </w:pPr>
            <w:r>
              <w:rPr>
                <w:rFonts w:ascii="Arial" w:cs="Arial" w:eastAsia="Arial" w:hAnsi="Arial"/>
                <w:sz w:val="12"/>
                <w:szCs w:val="12"/>
                <w:b w:val="1"/>
                <w:bCs w:val="1"/>
                <w:color w:val="3C3C3B"/>
              </w:rPr>
              <w:t>Financial expenses</w:t>
            </w:r>
          </w:p>
        </w:tc>
        <w:tc>
          <w:tcPr>
            <w:tcW w:w="25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9"/>
        </w:trPr>
        <w:tc>
          <w:tcPr>
            <w:tcW w:w="7760" w:type="dxa"/>
            <w:vAlign w:val="bottom"/>
            <w:tcBorders>
              <w:bottom w:val="single" w:sz="8" w:color="FDF6EA"/>
            </w:tcBorders>
            <w:shd w:val="clear" w:color="auto" w:fill="FDF6EA"/>
          </w:tcPr>
          <w:p>
            <w:pPr>
              <w:ind w:left="20"/>
              <w:spacing w:after="0"/>
              <w:rPr>
                <w:sz w:val="20"/>
                <w:szCs w:val="20"/>
                <w:color w:val="auto"/>
              </w:rPr>
            </w:pPr>
            <w:r>
              <w:rPr>
                <w:rFonts w:ascii="Arial" w:cs="Arial" w:eastAsia="Arial" w:hAnsi="Arial"/>
                <w:sz w:val="12"/>
                <w:szCs w:val="12"/>
                <w:color w:val="3C3C3B"/>
              </w:rPr>
              <w:t>Interest expenses</w:t>
            </w:r>
          </w:p>
        </w:tc>
        <w:tc>
          <w:tcPr>
            <w:tcW w:w="2520" w:type="dxa"/>
            <w:vAlign w:val="bottom"/>
            <w:tcBorders>
              <w:bottom w:val="single" w:sz="8" w:color="FDF6EA"/>
            </w:tcBorders>
            <w:shd w:val="clear" w:color="auto" w:fill="FDF6EA"/>
          </w:tcPr>
          <w:p>
            <w:pPr>
              <w:jc w:val="right"/>
              <w:ind w:right="738"/>
              <w:spacing w:after="0"/>
              <w:rPr>
                <w:sz w:val="20"/>
                <w:szCs w:val="20"/>
                <w:color w:val="auto"/>
              </w:rPr>
            </w:pPr>
            <w:r>
              <w:rPr>
                <w:rFonts w:ascii="Arial" w:cs="Arial" w:eastAsia="Arial" w:hAnsi="Arial"/>
                <w:sz w:val="12"/>
                <w:szCs w:val="12"/>
                <w:color w:val="auto"/>
              </w:rPr>
              <w:t>(2,327)</w:t>
            </w:r>
          </w:p>
        </w:tc>
        <w:tc>
          <w:tcPr>
            <w:tcW w:w="940" w:type="dxa"/>
            <w:vAlign w:val="bottom"/>
            <w:tcBorders>
              <w:bottom w:val="single" w:sz="8" w:color="FDF6EA"/>
            </w:tcBorders>
            <w:shd w:val="clear" w:color="auto" w:fill="FDF6EA"/>
          </w:tcPr>
          <w:p>
            <w:pPr>
              <w:jc w:val="right"/>
              <w:spacing w:after="0"/>
              <w:rPr>
                <w:sz w:val="20"/>
                <w:szCs w:val="20"/>
                <w:color w:val="auto"/>
              </w:rPr>
            </w:pPr>
            <w:r>
              <w:rPr>
                <w:rFonts w:ascii="Arial" w:cs="Arial" w:eastAsia="Arial" w:hAnsi="Arial"/>
                <w:sz w:val="12"/>
                <w:szCs w:val="12"/>
                <w:color w:val="auto"/>
              </w:rPr>
              <w:t>(1,126)</w:t>
            </w:r>
          </w:p>
        </w:tc>
      </w:tr>
      <w:tr>
        <w:trPr>
          <w:trHeight w:val="173"/>
        </w:trPr>
        <w:tc>
          <w:tcPr>
            <w:tcW w:w="7760" w:type="dxa"/>
            <w:vAlign w:val="bottom"/>
          </w:tcPr>
          <w:p>
            <w:pPr>
              <w:ind w:left="20"/>
              <w:spacing w:after="0"/>
              <w:rPr>
                <w:sz w:val="20"/>
                <w:szCs w:val="20"/>
                <w:color w:val="auto"/>
              </w:rPr>
            </w:pPr>
            <w:r>
              <w:rPr>
                <w:rFonts w:ascii="Arial" w:cs="Arial" w:eastAsia="Arial" w:hAnsi="Arial"/>
                <w:sz w:val="12"/>
                <w:szCs w:val="12"/>
                <w:color w:val="3C3C3B"/>
              </w:rPr>
              <w:t>Interest expenses for leases</w:t>
            </w:r>
          </w:p>
        </w:tc>
        <w:tc>
          <w:tcPr>
            <w:tcW w:w="2520" w:type="dxa"/>
            <w:vAlign w:val="bottom"/>
          </w:tcPr>
          <w:p>
            <w:pPr>
              <w:jc w:val="right"/>
              <w:ind w:right="738"/>
              <w:spacing w:after="0"/>
              <w:rPr>
                <w:sz w:val="20"/>
                <w:szCs w:val="20"/>
                <w:color w:val="auto"/>
              </w:rPr>
            </w:pPr>
            <w:r>
              <w:rPr>
                <w:rFonts w:ascii="Arial" w:cs="Arial" w:eastAsia="Arial" w:hAnsi="Arial"/>
                <w:sz w:val="12"/>
                <w:szCs w:val="12"/>
                <w:color w:val="auto"/>
              </w:rPr>
              <w:t>(33)</w:t>
            </w:r>
          </w:p>
        </w:tc>
        <w:tc>
          <w:tcPr>
            <w:tcW w:w="94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26"/>
        </w:trPr>
        <w:tc>
          <w:tcPr>
            <w:tcW w:w="7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9"/>
        </w:trPr>
        <w:tc>
          <w:tcPr>
            <w:tcW w:w="7760" w:type="dxa"/>
            <w:vAlign w:val="bottom"/>
            <w:tcBorders>
              <w:bottom w:val="single" w:sz="8" w:color="FDF6EA"/>
            </w:tcBorders>
            <w:shd w:val="clear" w:color="auto" w:fill="FDF6EA"/>
          </w:tcPr>
          <w:p>
            <w:pPr>
              <w:ind w:left="20"/>
              <w:spacing w:after="0"/>
              <w:rPr>
                <w:sz w:val="20"/>
                <w:szCs w:val="20"/>
                <w:color w:val="auto"/>
              </w:rPr>
            </w:pPr>
            <w:r>
              <w:rPr>
                <w:rFonts w:ascii="Arial" w:cs="Arial" w:eastAsia="Arial" w:hAnsi="Arial"/>
                <w:sz w:val="12"/>
                <w:szCs w:val="12"/>
                <w:color w:val="3C3C3B"/>
              </w:rPr>
              <w:t>Royalty financing debt issuance costs</w:t>
            </w:r>
          </w:p>
        </w:tc>
        <w:tc>
          <w:tcPr>
            <w:tcW w:w="2520" w:type="dxa"/>
            <w:vAlign w:val="bottom"/>
            <w:tcBorders>
              <w:bottom w:val="single" w:sz="8" w:color="FDF6EA"/>
            </w:tcBorders>
            <w:shd w:val="clear" w:color="auto" w:fill="FDF6EA"/>
          </w:tcPr>
          <w:p>
            <w:pPr>
              <w:jc w:val="right"/>
              <w:ind w:right="738"/>
              <w:spacing w:after="0"/>
              <w:rPr>
                <w:sz w:val="20"/>
                <w:szCs w:val="20"/>
                <w:color w:val="auto"/>
              </w:rPr>
            </w:pPr>
            <w:r>
              <w:rPr>
                <w:rFonts w:ascii="Arial" w:cs="Arial" w:eastAsia="Arial" w:hAnsi="Arial"/>
                <w:sz w:val="12"/>
                <w:szCs w:val="12"/>
                <w:color w:val="auto"/>
              </w:rPr>
              <w:t>0</w:t>
            </w:r>
          </w:p>
        </w:tc>
        <w:tc>
          <w:tcPr>
            <w:tcW w:w="940" w:type="dxa"/>
            <w:vAlign w:val="bottom"/>
            <w:tcBorders>
              <w:bottom w:val="single" w:sz="8" w:color="FDF6EA"/>
            </w:tcBorders>
            <w:shd w:val="clear" w:color="auto" w:fill="FDF6EA"/>
          </w:tcPr>
          <w:p>
            <w:pPr>
              <w:jc w:val="right"/>
              <w:spacing w:after="0"/>
              <w:rPr>
                <w:sz w:val="20"/>
                <w:szCs w:val="20"/>
                <w:color w:val="auto"/>
              </w:rPr>
            </w:pPr>
            <w:r>
              <w:rPr>
                <w:rFonts w:ascii="Arial" w:cs="Arial" w:eastAsia="Arial" w:hAnsi="Arial"/>
                <w:sz w:val="12"/>
                <w:szCs w:val="12"/>
                <w:color w:val="auto"/>
              </w:rPr>
              <w:t>(4,020)</w:t>
            </w:r>
          </w:p>
        </w:tc>
      </w:tr>
      <w:tr>
        <w:trPr>
          <w:trHeight w:val="173"/>
        </w:trPr>
        <w:tc>
          <w:tcPr>
            <w:tcW w:w="7760" w:type="dxa"/>
            <w:vAlign w:val="bottom"/>
          </w:tcPr>
          <w:p>
            <w:pPr>
              <w:ind w:left="20"/>
              <w:spacing w:after="0"/>
              <w:rPr>
                <w:sz w:val="20"/>
                <w:szCs w:val="20"/>
                <w:color w:val="auto"/>
              </w:rPr>
            </w:pPr>
            <w:r>
              <w:rPr>
                <w:rFonts w:ascii="Arial" w:cs="Arial" w:eastAsia="Arial" w:hAnsi="Arial"/>
                <w:sz w:val="12"/>
                <w:szCs w:val="12"/>
                <w:color w:val="3C3C3B"/>
              </w:rPr>
              <w:t>Changes in fair value through profit or loss</w:t>
            </w:r>
          </w:p>
        </w:tc>
        <w:tc>
          <w:tcPr>
            <w:tcW w:w="2520" w:type="dxa"/>
            <w:vAlign w:val="bottom"/>
          </w:tcPr>
          <w:p>
            <w:pPr>
              <w:jc w:val="right"/>
              <w:ind w:right="738"/>
              <w:spacing w:after="0"/>
              <w:rPr>
                <w:sz w:val="20"/>
                <w:szCs w:val="20"/>
                <w:color w:val="auto"/>
              </w:rPr>
            </w:pPr>
            <w:r>
              <w:rPr>
                <w:rFonts w:ascii="Arial" w:cs="Arial" w:eastAsia="Arial" w:hAnsi="Arial"/>
                <w:sz w:val="12"/>
                <w:szCs w:val="12"/>
                <w:color w:val="auto"/>
              </w:rPr>
              <w:t>0</w:t>
            </w:r>
          </w:p>
        </w:tc>
        <w:tc>
          <w:tcPr>
            <w:tcW w:w="940" w:type="dxa"/>
            <w:vAlign w:val="bottom"/>
          </w:tcPr>
          <w:p>
            <w:pPr>
              <w:jc w:val="right"/>
              <w:spacing w:after="0"/>
              <w:rPr>
                <w:sz w:val="20"/>
                <w:szCs w:val="20"/>
                <w:color w:val="auto"/>
              </w:rPr>
            </w:pPr>
            <w:r>
              <w:rPr>
                <w:rFonts w:ascii="Arial" w:cs="Arial" w:eastAsia="Arial" w:hAnsi="Arial"/>
                <w:sz w:val="12"/>
                <w:szCs w:val="12"/>
                <w:color w:val="auto"/>
              </w:rPr>
              <w:t>(5,434)</w:t>
            </w:r>
          </w:p>
        </w:tc>
      </w:tr>
      <w:tr>
        <w:trPr>
          <w:trHeight w:val="26"/>
        </w:trPr>
        <w:tc>
          <w:tcPr>
            <w:tcW w:w="7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9"/>
        </w:trPr>
        <w:tc>
          <w:tcPr>
            <w:tcW w:w="77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Foreign exchange losses</w:t>
            </w:r>
          </w:p>
        </w:tc>
        <w:tc>
          <w:tcPr>
            <w:tcW w:w="2520" w:type="dxa"/>
            <w:vAlign w:val="bottom"/>
            <w:tcBorders>
              <w:bottom w:val="single" w:sz="8" w:color="FDF5E7"/>
            </w:tcBorders>
            <w:shd w:val="clear" w:color="auto" w:fill="FDF5E7"/>
          </w:tcPr>
          <w:p>
            <w:pPr>
              <w:jc w:val="right"/>
              <w:ind w:right="738"/>
              <w:spacing w:after="0"/>
              <w:rPr>
                <w:sz w:val="20"/>
                <w:szCs w:val="20"/>
                <w:color w:val="auto"/>
              </w:rPr>
            </w:pPr>
            <w:r>
              <w:rPr>
                <w:rFonts w:ascii="Arial" w:cs="Arial" w:eastAsia="Arial" w:hAnsi="Arial"/>
                <w:sz w:val="12"/>
                <w:szCs w:val="12"/>
                <w:color w:val="auto"/>
              </w:rPr>
              <w:t>(42)</w:t>
            </w: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(1,399)</w:t>
            </w:r>
          </w:p>
        </w:tc>
      </w:tr>
      <w:tr>
        <w:trPr>
          <w:trHeight w:val="173"/>
        </w:trPr>
        <w:tc>
          <w:tcPr>
            <w:tcW w:w="7760" w:type="dxa"/>
            <w:vAlign w:val="bottom"/>
          </w:tcPr>
          <w:p>
            <w:pPr>
              <w:ind w:left="20"/>
              <w:spacing w:after="0"/>
              <w:rPr>
                <w:sz w:val="20"/>
                <w:szCs w:val="20"/>
                <w:color w:val="auto"/>
              </w:rPr>
            </w:pPr>
            <w:r>
              <w:rPr>
                <w:rFonts w:ascii="Arial" w:cs="Arial" w:eastAsia="Arial" w:hAnsi="Arial"/>
                <w:sz w:val="12"/>
                <w:szCs w:val="12"/>
                <w:color w:val="3C3C3B"/>
              </w:rPr>
              <w:t>Other financial expenses</w:t>
            </w:r>
          </w:p>
        </w:tc>
        <w:tc>
          <w:tcPr>
            <w:tcW w:w="2520" w:type="dxa"/>
            <w:vAlign w:val="bottom"/>
          </w:tcPr>
          <w:p>
            <w:pPr>
              <w:jc w:val="right"/>
              <w:ind w:right="738"/>
              <w:spacing w:after="0"/>
              <w:rPr>
                <w:sz w:val="20"/>
                <w:szCs w:val="20"/>
                <w:color w:val="auto"/>
              </w:rPr>
            </w:pPr>
            <w:r>
              <w:rPr>
                <w:rFonts w:ascii="Arial" w:cs="Arial" w:eastAsia="Arial" w:hAnsi="Arial"/>
                <w:sz w:val="12"/>
                <w:szCs w:val="12"/>
                <w:color w:val="auto"/>
              </w:rPr>
              <w:t>(18)</w:t>
            </w:r>
          </w:p>
        </w:tc>
        <w:tc>
          <w:tcPr>
            <w:tcW w:w="94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26"/>
        </w:trPr>
        <w:tc>
          <w:tcPr>
            <w:tcW w:w="77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2"/>
        </w:trPr>
        <w:tc>
          <w:tcPr>
            <w:tcW w:w="7760" w:type="dxa"/>
            <w:vAlign w:val="bottom"/>
          </w:tcPr>
          <w:p>
            <w:pPr>
              <w:ind w:left="20"/>
              <w:spacing w:after="0"/>
              <w:rPr>
                <w:sz w:val="20"/>
                <w:szCs w:val="20"/>
                <w:color w:val="auto"/>
              </w:rPr>
            </w:pPr>
            <w:r>
              <w:rPr>
                <w:rFonts w:ascii="Arial" w:cs="Arial" w:eastAsia="Arial" w:hAnsi="Arial"/>
                <w:sz w:val="12"/>
                <w:szCs w:val="12"/>
                <w:b w:val="1"/>
                <w:bCs w:val="1"/>
                <w:i w:val="1"/>
                <w:iCs w:val="1"/>
                <w:color w:val="3C3C3B"/>
              </w:rPr>
              <w:t>TOTAL - Financial expenses</w:t>
            </w:r>
          </w:p>
        </w:tc>
        <w:tc>
          <w:tcPr>
            <w:tcW w:w="2520" w:type="dxa"/>
            <w:vAlign w:val="bottom"/>
          </w:tcPr>
          <w:p>
            <w:pPr>
              <w:jc w:val="right"/>
              <w:ind w:right="738"/>
              <w:spacing w:after="0"/>
              <w:rPr>
                <w:sz w:val="20"/>
                <w:szCs w:val="20"/>
                <w:color w:val="auto"/>
              </w:rPr>
            </w:pPr>
            <w:r>
              <w:rPr>
                <w:rFonts w:ascii="Arial" w:cs="Arial" w:eastAsia="Arial" w:hAnsi="Arial"/>
                <w:sz w:val="12"/>
                <w:szCs w:val="12"/>
                <w:b w:val="1"/>
                <w:bCs w:val="1"/>
                <w:i w:val="1"/>
                <w:iCs w:val="1"/>
                <w:color w:val="auto"/>
              </w:rPr>
              <w:t>(2,419)</w:t>
            </w:r>
          </w:p>
        </w:tc>
        <w:tc>
          <w:tcPr>
            <w:tcW w:w="9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(12,027)</w:t>
            </w:r>
          </w:p>
        </w:tc>
      </w:tr>
      <w:tr>
        <w:trPr>
          <w:trHeight w:val="20"/>
        </w:trPr>
        <w:tc>
          <w:tcPr>
            <w:tcW w:w="77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2"/>
        </w:trPr>
        <w:tc>
          <w:tcPr>
            <w:tcW w:w="7760" w:type="dxa"/>
            <w:vAlign w:val="bottom"/>
          </w:tcPr>
          <w:p>
            <w:pPr>
              <w:ind w:left="20"/>
              <w:spacing w:after="0"/>
              <w:rPr>
                <w:sz w:val="20"/>
                <w:szCs w:val="20"/>
                <w:color w:val="auto"/>
              </w:rPr>
            </w:pPr>
            <w:r>
              <w:rPr>
                <w:rFonts w:ascii="Arial" w:cs="Arial" w:eastAsia="Arial" w:hAnsi="Arial"/>
                <w:sz w:val="12"/>
                <w:szCs w:val="12"/>
                <w:b w:val="1"/>
                <w:bCs w:val="1"/>
                <w:color w:val="E99D25"/>
              </w:rPr>
              <w:t>FINANCIAL GAIN (LOSS)</w:t>
            </w:r>
          </w:p>
        </w:tc>
        <w:tc>
          <w:tcPr>
            <w:tcW w:w="2520" w:type="dxa"/>
            <w:vAlign w:val="bottom"/>
          </w:tcPr>
          <w:p>
            <w:pPr>
              <w:jc w:val="right"/>
              <w:ind w:right="738"/>
              <w:spacing w:after="0"/>
              <w:rPr>
                <w:sz w:val="20"/>
                <w:szCs w:val="20"/>
                <w:color w:val="auto"/>
              </w:rPr>
            </w:pPr>
            <w:r>
              <w:rPr>
                <w:rFonts w:ascii="Arial" w:cs="Arial" w:eastAsia="Arial" w:hAnsi="Arial"/>
                <w:sz w:val="12"/>
                <w:szCs w:val="12"/>
                <w:b w:val="1"/>
                <w:bCs w:val="1"/>
                <w:color w:val="E79B3F"/>
              </w:rPr>
              <w:t>(873)</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E99D25"/>
              </w:rPr>
              <w:t>(10,178)</w:t>
            </w:r>
          </w:p>
        </w:tc>
      </w:tr>
      <w:tr>
        <w:trPr>
          <w:trHeight w:val="20"/>
        </w:trPr>
        <w:tc>
          <w:tcPr>
            <w:tcW w:w="77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3C3C3B"/>
        </w:rPr>
        <w:t xml:space="preserve">For further information related to the Royalty Financing issuance costs and changes in fair value of the Royalty Financing liability, see </w:t>
      </w:r>
      <w:r>
        <w:rPr>
          <w:rFonts w:ascii="Arial" w:cs="Arial" w:eastAsia="Arial" w:hAnsi="Arial"/>
          <w:sz w:val="15"/>
          <w:szCs w:val="15"/>
          <w:u w:val="single" w:color="auto"/>
          <w:color w:val="0000FF"/>
        </w:rPr>
        <w:t>Note 17 - Loans and borrowings</w:t>
      </w:r>
      <w:r>
        <w:rPr>
          <w:rFonts w:ascii="Arial" w:cs="Arial" w:eastAsia="Arial" w:hAnsi="Arial"/>
          <w:sz w:val="15"/>
          <w:szCs w:val="15"/>
          <w:color w:val="3C3C3B"/>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8"/>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28</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34" w:name="page35"/>
    <w:bookmarkEnd w:id="34"/>
    <w:p>
      <w:pPr>
        <w:ind w:left="500" w:hanging="494"/>
        <w:spacing w:after="0"/>
        <w:tabs>
          <w:tab w:leader="none" w:pos="500" w:val="left"/>
        </w:tabs>
        <w:numPr>
          <w:ilvl w:val="0"/>
          <w:numId w:val="44"/>
        </w:numPr>
        <w:rPr>
          <w:rFonts w:ascii="Arial" w:cs="Arial" w:eastAsia="Arial" w:hAnsi="Arial"/>
          <w:sz w:val="16"/>
          <w:szCs w:val="16"/>
          <w:b w:val="1"/>
          <w:bCs w:val="1"/>
          <w:color w:val="E99D25"/>
        </w:rPr>
      </w:pPr>
      <w:r>
        <w:rPr>
          <w:rFonts w:ascii="Arial" w:cs="Arial" w:eastAsia="Arial" w:hAnsi="Arial"/>
          <w:sz w:val="16"/>
          <w:szCs w:val="16"/>
          <w:b w:val="1"/>
          <w:bCs w:val="1"/>
          <w:color w:val="E99D25"/>
        </w:rPr>
        <w:t>INCOME TAX</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Tax expense</w:t>
      </w:r>
    </w:p>
    <w:p>
      <w:pPr>
        <w:spacing w:after="0" w:line="18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3C3C3B"/>
        </w:rPr>
        <w:t>The income tax expense for the interim period is determined by applying management's best estimate of the weighted average tax rate for the annual period, adjusted for certain items fully applicable to the interim period if necessary to profit or loss before tax. The Group has made this assessment based on currently available information regarding the activities of the Group's entities, as well as the effective tax rates applicable in each relevant jurisdiction and historical data.</w:t>
      </w:r>
    </w:p>
    <w:p>
      <w:pPr>
        <w:spacing w:after="0" w:line="238" w:lineRule="exact"/>
        <w:rPr>
          <w:sz w:val="20"/>
          <w:szCs w:val="20"/>
          <w:color w:val="auto"/>
        </w:rPr>
      </w:pPr>
    </w:p>
    <w:p>
      <w:pPr>
        <w:ind w:left="500" w:hanging="494"/>
        <w:spacing w:after="0"/>
        <w:tabs>
          <w:tab w:leader="none" w:pos="500" w:val="left"/>
        </w:tabs>
        <w:numPr>
          <w:ilvl w:val="0"/>
          <w:numId w:val="45"/>
        </w:numPr>
        <w:rPr>
          <w:rFonts w:ascii="Arial" w:cs="Arial" w:eastAsia="Arial" w:hAnsi="Arial"/>
          <w:sz w:val="16"/>
          <w:szCs w:val="16"/>
          <w:b w:val="1"/>
          <w:bCs w:val="1"/>
          <w:color w:val="E99D25"/>
        </w:rPr>
      </w:pPr>
      <w:r>
        <w:rPr>
          <w:rFonts w:ascii="Arial" w:cs="Arial" w:eastAsia="Arial" w:hAnsi="Arial"/>
          <w:sz w:val="16"/>
          <w:szCs w:val="16"/>
          <w:b w:val="1"/>
          <w:bCs w:val="1"/>
          <w:color w:val="E99D25"/>
        </w:rPr>
        <w:t>EARNINGS (LOSS) PER SHARE</w:t>
      </w:r>
    </w:p>
    <w:p>
      <w:pPr>
        <w:spacing w:after="0" w:line="263"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Basic earnings (loss) per share are calculated by dividing profit or loss attributable to the Company's ordinary shareholders by the weighted average number of ordinary shares outstanding during the period.</w:t>
      </w:r>
    </w:p>
    <w:p>
      <w:pPr>
        <w:spacing w:after="0" w:line="12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3C3C3B"/>
        </w:rPr>
        <w:t>Diluted earnings (loss) per share are calculated by adjusting profit attributable to ordinary shareholders and the average number of ordinary shares outstanding weighted for the effects of all potentially dilutive instruments (share warrants, redeemable share warrants, free shares, stock options and bonds convertible into new and/or existing shares).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components of the earnings (loss) per share computation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60" w:type="dxa"/>
            <w:vAlign w:val="bottom"/>
          </w:tcPr>
          <w:p>
            <w:pPr>
              <w:ind w:left="20"/>
              <w:spacing w:after="0"/>
              <w:rPr>
                <w:sz w:val="20"/>
                <w:szCs w:val="20"/>
                <w:color w:val="auto"/>
              </w:rPr>
            </w:pPr>
            <w:r>
              <w:rPr>
                <w:rFonts w:ascii="Arial" w:cs="Arial" w:eastAsia="Arial" w:hAnsi="Arial"/>
                <w:sz w:val="12"/>
                <w:szCs w:val="12"/>
                <w:b w:val="1"/>
                <w:bCs w:val="1"/>
                <w:color w:val="3C3C3B"/>
              </w:rPr>
              <w:t>Earnings per share</w:t>
            </w:r>
          </w:p>
        </w:tc>
        <w:tc>
          <w:tcPr>
            <w:tcW w:w="2040" w:type="dxa"/>
            <w:vAlign w:val="bottom"/>
          </w:tcPr>
          <w:p>
            <w:pPr>
              <w:jc w:val="right"/>
              <w:ind w:right="78"/>
              <w:spacing w:after="0"/>
              <w:rPr>
                <w:sz w:val="20"/>
                <w:szCs w:val="20"/>
                <w:color w:val="auto"/>
              </w:rPr>
            </w:pPr>
            <w:r>
              <w:rPr>
                <w:rFonts w:ascii="Arial" w:cs="Arial" w:eastAsia="Arial" w:hAnsi="Arial"/>
                <w:sz w:val="12"/>
                <w:szCs w:val="12"/>
                <w:b w:val="1"/>
                <w:bCs w:val="1"/>
                <w:color w:val="3C3C3B"/>
              </w:rPr>
              <w:t>Half-year ended</w:t>
            </w:r>
          </w:p>
        </w:tc>
        <w:tc>
          <w:tcPr>
            <w:tcW w:w="820" w:type="dxa"/>
            <w:vAlign w:val="bottom"/>
          </w:tcPr>
          <w:p>
            <w:pPr>
              <w:spacing w:after="0"/>
              <w:rPr>
                <w:sz w:val="14"/>
                <w:szCs w:val="14"/>
                <w:color w:val="auto"/>
              </w:rPr>
            </w:pPr>
          </w:p>
        </w:tc>
      </w:tr>
      <w:tr>
        <w:trPr>
          <w:trHeight w:val="20"/>
        </w:trPr>
        <w:tc>
          <w:tcPr>
            <w:tcW w:w="83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2"/>
        </w:trPr>
        <w:tc>
          <w:tcPr>
            <w:tcW w:w="8360" w:type="dxa"/>
            <w:vAlign w:val="bottom"/>
          </w:tcPr>
          <w:p>
            <w:pPr>
              <w:spacing w:after="0"/>
              <w:rPr>
                <w:sz w:val="14"/>
                <w:szCs w:val="14"/>
                <w:color w:val="auto"/>
              </w:rPr>
            </w:pPr>
          </w:p>
        </w:tc>
        <w:tc>
          <w:tcPr>
            <w:tcW w:w="2040" w:type="dxa"/>
            <w:vAlign w:val="bottom"/>
          </w:tcPr>
          <w:p>
            <w:pPr>
              <w:jc w:val="right"/>
              <w:ind w:right="538"/>
              <w:spacing w:after="0"/>
              <w:rPr>
                <w:sz w:val="20"/>
                <w:szCs w:val="20"/>
                <w:color w:val="auto"/>
              </w:rPr>
            </w:pPr>
            <w:r>
              <w:rPr>
                <w:rFonts w:ascii="Arial" w:cs="Arial" w:eastAsia="Arial" w:hAnsi="Arial"/>
                <w:sz w:val="12"/>
                <w:szCs w:val="12"/>
                <w:b w:val="1"/>
                <w:bCs w:val="1"/>
                <w:color w:val="3C3C3B"/>
              </w:rPr>
              <w:t>2024/06/30</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83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b w:val="1"/>
                <w:bCs w:val="1"/>
                <w:color w:val="3C3C3B"/>
              </w:rPr>
              <w:t>Profit (loss) for the period (in € thousands)</w:t>
            </w:r>
          </w:p>
        </w:tc>
        <w:tc>
          <w:tcPr>
            <w:tcW w:w="2040" w:type="dxa"/>
            <w:vAlign w:val="bottom"/>
            <w:tcBorders>
              <w:bottom w:val="single" w:sz="8" w:color="FDF5E7"/>
            </w:tcBorders>
            <w:shd w:val="clear" w:color="auto" w:fill="FDF5E7"/>
          </w:tcPr>
          <w:p>
            <w:pPr>
              <w:jc w:val="right"/>
              <w:ind w:right="578"/>
              <w:spacing w:after="0"/>
              <w:rPr>
                <w:sz w:val="20"/>
                <w:szCs w:val="20"/>
                <w:color w:val="auto"/>
              </w:rPr>
            </w:pPr>
            <w:r>
              <w:rPr>
                <w:rFonts w:ascii="Arial" w:cs="Arial" w:eastAsia="Arial" w:hAnsi="Arial"/>
                <w:sz w:val="12"/>
                <w:szCs w:val="12"/>
                <w:b w:val="1"/>
                <w:bCs w:val="1"/>
                <w:color w:val="auto"/>
              </w:rPr>
              <w:t>30,311</w:t>
            </w:r>
          </w:p>
        </w:tc>
        <w:tc>
          <w:tcPr>
            <w:tcW w:w="8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b w:val="1"/>
                <w:bCs w:val="1"/>
                <w:color w:val="auto"/>
              </w:rPr>
              <w:t>(9,956)</w:t>
            </w:r>
          </w:p>
        </w:tc>
      </w:tr>
      <w:tr>
        <w:trPr>
          <w:trHeight w:val="197"/>
        </w:trPr>
        <w:tc>
          <w:tcPr>
            <w:tcW w:w="8360" w:type="dxa"/>
            <w:vAlign w:val="bottom"/>
            <w:tcBorders>
              <w:top w:val="single" w:sz="8" w:color="auto"/>
              <w:bottom w:val="single" w:sz="8" w:color="FDF6EA"/>
            </w:tcBorders>
            <w:shd w:val="clear" w:color="auto" w:fill="FDF6EA"/>
          </w:tcPr>
          <w:p>
            <w:pPr>
              <w:ind w:left="20"/>
              <w:spacing w:after="0"/>
              <w:rPr>
                <w:sz w:val="20"/>
                <w:szCs w:val="20"/>
                <w:color w:val="auto"/>
              </w:rPr>
            </w:pPr>
            <w:r>
              <w:rPr>
                <w:rFonts w:ascii="Arial" w:cs="Arial" w:eastAsia="Arial" w:hAnsi="Arial"/>
                <w:sz w:val="12"/>
                <w:szCs w:val="12"/>
                <w:b w:val="1"/>
                <w:bCs w:val="1"/>
                <w:color w:val="3C3C3B"/>
              </w:rPr>
              <w:t>Basic earnings (loss) per share (€/share)</w:t>
            </w:r>
          </w:p>
        </w:tc>
        <w:tc>
          <w:tcPr>
            <w:tcW w:w="2040" w:type="dxa"/>
            <w:vAlign w:val="bottom"/>
            <w:tcBorders>
              <w:top w:val="single" w:sz="8" w:color="auto"/>
              <w:bottom w:val="single" w:sz="8" w:color="FDF6EA"/>
            </w:tcBorders>
            <w:shd w:val="clear" w:color="auto" w:fill="FDF6EA"/>
          </w:tcPr>
          <w:p>
            <w:pPr>
              <w:jc w:val="right"/>
              <w:ind w:right="578"/>
              <w:spacing w:after="0"/>
              <w:rPr>
                <w:sz w:val="20"/>
                <w:szCs w:val="20"/>
                <w:color w:val="auto"/>
              </w:rPr>
            </w:pPr>
            <w:r>
              <w:rPr>
                <w:rFonts w:ascii="Arial" w:cs="Arial" w:eastAsia="Arial" w:hAnsi="Arial"/>
                <w:sz w:val="12"/>
                <w:szCs w:val="12"/>
                <w:b w:val="1"/>
                <w:bCs w:val="1"/>
                <w:color w:val="auto"/>
              </w:rPr>
              <w:t>0.61</w:t>
            </w:r>
          </w:p>
        </w:tc>
        <w:tc>
          <w:tcPr>
            <w:tcW w:w="820" w:type="dxa"/>
            <w:vAlign w:val="bottom"/>
            <w:tcBorders>
              <w:top w:val="single" w:sz="8" w:color="auto"/>
              <w:bottom w:val="single" w:sz="8" w:color="FDF6EA"/>
            </w:tcBorders>
            <w:shd w:val="clear" w:color="auto" w:fill="FDF6EA"/>
          </w:tcPr>
          <w:p>
            <w:pPr>
              <w:jc w:val="right"/>
              <w:spacing w:after="0"/>
              <w:rPr>
                <w:sz w:val="20"/>
                <w:szCs w:val="20"/>
                <w:color w:val="auto"/>
              </w:rPr>
            </w:pPr>
            <w:r>
              <w:rPr>
                <w:rFonts w:ascii="Arial" w:cs="Arial" w:eastAsia="Arial" w:hAnsi="Arial"/>
                <w:sz w:val="12"/>
                <w:szCs w:val="12"/>
                <w:b w:val="1"/>
                <w:bCs w:val="1"/>
                <w:color w:val="auto"/>
              </w:rPr>
              <w:t>(0.20)</w:t>
            </w:r>
          </w:p>
        </w:tc>
      </w:tr>
      <w:tr>
        <w:trPr>
          <w:trHeight w:val="166"/>
        </w:trPr>
        <w:tc>
          <w:tcPr>
            <w:tcW w:w="83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3C3C3B"/>
              </w:rPr>
              <w:t>Weighted average number of ordinary shares used to calculate diluted earnings (loss) per share</w:t>
            </w:r>
          </w:p>
        </w:tc>
        <w:tc>
          <w:tcPr>
            <w:tcW w:w="2040" w:type="dxa"/>
            <w:vAlign w:val="bottom"/>
            <w:tcBorders>
              <w:top w:val="single" w:sz="8" w:color="auto"/>
            </w:tcBorders>
          </w:tcPr>
          <w:p>
            <w:pPr>
              <w:jc w:val="right"/>
              <w:ind w:right="578"/>
              <w:spacing w:after="0"/>
              <w:rPr>
                <w:sz w:val="20"/>
                <w:szCs w:val="20"/>
                <w:color w:val="auto"/>
              </w:rPr>
            </w:pPr>
            <w:r>
              <w:rPr>
                <w:rFonts w:ascii="Arial" w:cs="Arial" w:eastAsia="Arial" w:hAnsi="Arial"/>
                <w:sz w:val="12"/>
                <w:szCs w:val="12"/>
                <w:color w:val="auto"/>
              </w:rPr>
              <w:t>60,363,017</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49,784,805</w:t>
            </w:r>
          </w:p>
        </w:tc>
      </w:tr>
      <w:tr>
        <w:trPr>
          <w:trHeight w:val="26"/>
        </w:trPr>
        <w:tc>
          <w:tcPr>
            <w:tcW w:w="8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9"/>
        </w:trPr>
        <w:tc>
          <w:tcPr>
            <w:tcW w:w="8360" w:type="dxa"/>
            <w:vAlign w:val="bottom"/>
            <w:tcBorders>
              <w:bottom w:val="single" w:sz="8" w:color="FDF6EA"/>
            </w:tcBorders>
            <w:shd w:val="clear" w:color="auto" w:fill="FDF6EA"/>
          </w:tcPr>
          <w:p>
            <w:pPr>
              <w:ind w:left="20"/>
              <w:spacing w:after="0"/>
              <w:rPr>
                <w:sz w:val="20"/>
                <w:szCs w:val="20"/>
                <w:color w:val="auto"/>
              </w:rPr>
            </w:pPr>
            <w:r>
              <w:rPr>
                <w:rFonts w:ascii="Arial" w:cs="Arial" w:eastAsia="Arial" w:hAnsi="Arial"/>
                <w:sz w:val="12"/>
                <w:szCs w:val="12"/>
                <w:b w:val="1"/>
                <w:bCs w:val="1"/>
                <w:color w:val="3C3C3B"/>
              </w:rPr>
              <w:t>Diluted earnings (loss) per share (€/share)</w:t>
            </w:r>
          </w:p>
        </w:tc>
        <w:tc>
          <w:tcPr>
            <w:tcW w:w="2040" w:type="dxa"/>
            <w:vAlign w:val="bottom"/>
            <w:tcBorders>
              <w:bottom w:val="single" w:sz="8" w:color="FDF6EA"/>
            </w:tcBorders>
            <w:shd w:val="clear" w:color="auto" w:fill="FDF6EA"/>
          </w:tcPr>
          <w:p>
            <w:pPr>
              <w:jc w:val="right"/>
              <w:ind w:right="578"/>
              <w:spacing w:after="0"/>
              <w:rPr>
                <w:sz w:val="20"/>
                <w:szCs w:val="20"/>
                <w:color w:val="auto"/>
              </w:rPr>
            </w:pPr>
            <w:r>
              <w:rPr>
                <w:rFonts w:ascii="Arial" w:cs="Arial" w:eastAsia="Arial" w:hAnsi="Arial"/>
                <w:sz w:val="12"/>
                <w:szCs w:val="12"/>
                <w:b w:val="1"/>
                <w:bCs w:val="1"/>
                <w:color w:val="auto"/>
              </w:rPr>
              <w:t>0.53</w:t>
            </w:r>
          </w:p>
        </w:tc>
        <w:tc>
          <w:tcPr>
            <w:tcW w:w="820" w:type="dxa"/>
            <w:vAlign w:val="bottom"/>
            <w:tcBorders>
              <w:bottom w:val="single" w:sz="8" w:color="FDF6EA"/>
            </w:tcBorders>
            <w:shd w:val="clear" w:color="auto" w:fill="FDF6EA"/>
          </w:tcPr>
          <w:p>
            <w:pPr>
              <w:jc w:val="right"/>
              <w:spacing w:after="0"/>
              <w:rPr>
                <w:sz w:val="20"/>
                <w:szCs w:val="20"/>
                <w:color w:val="auto"/>
              </w:rPr>
            </w:pPr>
            <w:r>
              <w:rPr>
                <w:rFonts w:ascii="Arial" w:cs="Arial" w:eastAsia="Arial" w:hAnsi="Arial"/>
                <w:sz w:val="12"/>
                <w:szCs w:val="12"/>
                <w:b w:val="1"/>
                <w:bCs w:val="1"/>
                <w:color w:val="auto"/>
              </w:rPr>
              <w:t>(0.20)</w:t>
            </w:r>
          </w:p>
        </w:tc>
      </w:tr>
      <w:tr>
        <w:trPr>
          <w:trHeight w:val="20"/>
        </w:trPr>
        <w:tc>
          <w:tcPr>
            <w:tcW w:w="836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weighted average numbers of ordinary shares as noted above exclude treasury shares held by GENFIT.</w:t>
      </w:r>
    </w:p>
    <w:p>
      <w:pPr>
        <w:spacing w:after="0" w:line="9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5"/>
          <w:szCs w:val="15"/>
          <w:color w:val="3C3C3B"/>
        </w:rPr>
        <w:t>The following table summarizes the potential common shares not included in the computation of diluted earnings per share because their impact would have been antidilutive: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0" w:type="dxa"/>
            <w:vAlign w:val="bottom"/>
          </w:tcPr>
          <w:p>
            <w:pPr>
              <w:ind w:left="20"/>
              <w:spacing w:after="0"/>
              <w:rPr>
                <w:sz w:val="20"/>
                <w:szCs w:val="20"/>
                <w:color w:val="auto"/>
              </w:rPr>
            </w:pPr>
            <w:r>
              <w:rPr>
                <w:rFonts w:ascii="Arial" w:cs="Arial" w:eastAsia="Arial" w:hAnsi="Arial"/>
                <w:sz w:val="12"/>
                <w:szCs w:val="12"/>
                <w:b w:val="1"/>
                <w:bCs w:val="1"/>
                <w:color w:val="auto"/>
              </w:rPr>
              <w:t>Potential common shares not included in the computation of diluted earnings per share</w:t>
            </w:r>
          </w:p>
        </w:tc>
        <w:tc>
          <w:tcPr>
            <w:tcW w:w="2180" w:type="dxa"/>
            <w:vAlign w:val="bottom"/>
          </w:tcPr>
          <w:p>
            <w:pPr>
              <w:jc w:val="right"/>
              <w:ind w:right="138"/>
              <w:spacing w:after="0"/>
              <w:rPr>
                <w:sz w:val="20"/>
                <w:szCs w:val="20"/>
                <w:color w:val="auto"/>
              </w:rPr>
            </w:pPr>
            <w:r>
              <w:rPr>
                <w:rFonts w:ascii="Arial" w:cs="Arial" w:eastAsia="Arial" w:hAnsi="Arial"/>
                <w:sz w:val="12"/>
                <w:szCs w:val="12"/>
                <w:b w:val="1"/>
                <w:bCs w:val="1"/>
                <w:color w:val="3C3C3B"/>
              </w:rPr>
              <w:t>Half-year ended</w:t>
            </w:r>
          </w:p>
        </w:tc>
        <w:tc>
          <w:tcPr>
            <w:tcW w:w="840" w:type="dxa"/>
            <w:vAlign w:val="bottom"/>
          </w:tcPr>
          <w:p>
            <w:pPr>
              <w:spacing w:after="0"/>
              <w:rPr>
                <w:sz w:val="14"/>
                <w:szCs w:val="14"/>
                <w:color w:val="auto"/>
              </w:rPr>
            </w:pPr>
          </w:p>
        </w:tc>
      </w:tr>
      <w:tr>
        <w:trPr>
          <w:trHeight w:val="20"/>
        </w:trPr>
        <w:tc>
          <w:tcPr>
            <w:tcW w:w="82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2"/>
        </w:trPr>
        <w:tc>
          <w:tcPr>
            <w:tcW w:w="8200" w:type="dxa"/>
            <w:vAlign w:val="bottom"/>
          </w:tcPr>
          <w:p>
            <w:pPr>
              <w:spacing w:after="0"/>
              <w:rPr>
                <w:sz w:val="14"/>
                <w:szCs w:val="14"/>
                <w:color w:val="auto"/>
              </w:rPr>
            </w:pPr>
          </w:p>
        </w:tc>
        <w:tc>
          <w:tcPr>
            <w:tcW w:w="2180" w:type="dxa"/>
            <w:vAlign w:val="bottom"/>
          </w:tcPr>
          <w:p>
            <w:pPr>
              <w:jc w:val="right"/>
              <w:ind w:right="598"/>
              <w:spacing w:after="0"/>
              <w:rPr>
                <w:sz w:val="20"/>
                <w:szCs w:val="20"/>
                <w:color w:val="auto"/>
              </w:rPr>
            </w:pPr>
            <w:r>
              <w:rPr>
                <w:rFonts w:ascii="Arial" w:cs="Arial" w:eastAsia="Arial" w:hAnsi="Arial"/>
                <w:sz w:val="12"/>
                <w:szCs w:val="12"/>
                <w:b w:val="1"/>
                <w:bCs w:val="1"/>
                <w:color w:val="3C3C3B"/>
              </w:rPr>
              <w:t>2024/06/30</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8200" w:type="dxa"/>
            <w:vAlign w:val="bottom"/>
            <w:tcBorders>
              <w:bottom w:val="single" w:sz="8" w:color="242424"/>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2"/>
        </w:trPr>
        <w:tc>
          <w:tcPr>
            <w:tcW w:w="820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auto"/>
              </w:rPr>
              <w:t>BSA</w:t>
            </w:r>
          </w:p>
        </w:tc>
        <w:tc>
          <w:tcPr>
            <w:tcW w:w="2180" w:type="dxa"/>
            <w:vAlign w:val="bottom"/>
            <w:tcBorders>
              <w:bottom w:val="single" w:sz="8" w:color="FDF5E7"/>
            </w:tcBorders>
            <w:shd w:val="clear" w:color="auto" w:fill="FDF5E7"/>
          </w:tcPr>
          <w:p>
            <w:pPr>
              <w:jc w:val="right"/>
              <w:ind w:right="598"/>
              <w:spacing w:after="0"/>
              <w:rPr>
                <w:sz w:val="20"/>
                <w:szCs w:val="20"/>
                <w:color w:val="auto"/>
              </w:rPr>
            </w:pPr>
            <w:r>
              <w:rPr>
                <w:rFonts w:ascii="Arial" w:cs="Arial" w:eastAsia="Arial" w:hAnsi="Arial"/>
                <w:sz w:val="12"/>
                <w:szCs w:val="12"/>
                <w:color w:val="auto"/>
              </w:rPr>
              <w:t>0</w:t>
            </w:r>
          </w:p>
        </w:tc>
        <w:tc>
          <w:tcPr>
            <w:tcW w:w="8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0</w:t>
            </w:r>
          </w:p>
        </w:tc>
      </w:tr>
      <w:tr>
        <w:trPr>
          <w:trHeight w:val="173"/>
        </w:trPr>
        <w:tc>
          <w:tcPr>
            <w:tcW w:w="8200" w:type="dxa"/>
            <w:vAlign w:val="bottom"/>
          </w:tcPr>
          <w:p>
            <w:pPr>
              <w:ind w:left="20"/>
              <w:spacing w:after="0"/>
              <w:rPr>
                <w:sz w:val="20"/>
                <w:szCs w:val="20"/>
                <w:color w:val="auto"/>
              </w:rPr>
            </w:pPr>
            <w:r>
              <w:rPr>
                <w:rFonts w:ascii="Arial" w:cs="Arial" w:eastAsia="Arial" w:hAnsi="Arial"/>
                <w:sz w:val="12"/>
                <w:szCs w:val="12"/>
                <w:color w:val="auto"/>
              </w:rPr>
              <w:t>STOCK OPTIONS</w:t>
            </w:r>
          </w:p>
        </w:tc>
        <w:tc>
          <w:tcPr>
            <w:tcW w:w="2180" w:type="dxa"/>
            <w:vAlign w:val="bottom"/>
          </w:tcPr>
          <w:p>
            <w:pPr>
              <w:jc w:val="right"/>
              <w:ind w:right="598"/>
              <w:spacing w:after="0"/>
              <w:rPr>
                <w:sz w:val="20"/>
                <w:szCs w:val="20"/>
                <w:color w:val="auto"/>
              </w:rPr>
            </w:pPr>
            <w:r>
              <w:rPr>
                <w:rFonts w:ascii="Arial" w:cs="Arial" w:eastAsia="Arial" w:hAnsi="Arial"/>
                <w:sz w:val="12"/>
                <w:szCs w:val="12"/>
                <w:color w:val="auto"/>
              </w:rPr>
              <w:t>0</w:t>
            </w:r>
          </w:p>
        </w:tc>
        <w:tc>
          <w:tcPr>
            <w:tcW w:w="840" w:type="dxa"/>
            <w:vAlign w:val="bottom"/>
          </w:tcPr>
          <w:p>
            <w:pPr>
              <w:jc w:val="right"/>
              <w:spacing w:after="0"/>
              <w:rPr>
                <w:sz w:val="20"/>
                <w:szCs w:val="20"/>
                <w:color w:val="auto"/>
              </w:rPr>
            </w:pPr>
            <w:r>
              <w:rPr>
                <w:rFonts w:ascii="Arial" w:cs="Arial" w:eastAsia="Arial" w:hAnsi="Arial"/>
                <w:sz w:val="12"/>
                <w:szCs w:val="12"/>
                <w:color w:val="auto"/>
              </w:rPr>
              <w:t>1,314,650</w:t>
            </w:r>
          </w:p>
        </w:tc>
      </w:tr>
      <w:tr>
        <w:trPr>
          <w:trHeight w:val="26"/>
        </w:trPr>
        <w:tc>
          <w:tcPr>
            <w:tcW w:w="82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79"/>
        </w:trPr>
        <w:tc>
          <w:tcPr>
            <w:tcW w:w="820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auto"/>
              </w:rPr>
              <w:t>AGA</w:t>
            </w:r>
          </w:p>
        </w:tc>
        <w:tc>
          <w:tcPr>
            <w:tcW w:w="2180" w:type="dxa"/>
            <w:vAlign w:val="bottom"/>
            <w:tcBorders>
              <w:bottom w:val="single" w:sz="8" w:color="FDF5E7"/>
            </w:tcBorders>
            <w:shd w:val="clear" w:color="auto" w:fill="FDF5E7"/>
          </w:tcPr>
          <w:p>
            <w:pPr>
              <w:jc w:val="right"/>
              <w:ind w:right="598"/>
              <w:spacing w:after="0"/>
              <w:rPr>
                <w:sz w:val="20"/>
                <w:szCs w:val="20"/>
                <w:color w:val="auto"/>
              </w:rPr>
            </w:pPr>
            <w:r>
              <w:rPr>
                <w:rFonts w:ascii="Arial" w:cs="Arial" w:eastAsia="Arial" w:hAnsi="Arial"/>
                <w:sz w:val="12"/>
                <w:szCs w:val="12"/>
                <w:color w:val="auto"/>
              </w:rPr>
              <w:t>0</w:t>
            </w:r>
          </w:p>
        </w:tc>
        <w:tc>
          <w:tcPr>
            <w:tcW w:w="8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229,600</w:t>
            </w:r>
          </w:p>
        </w:tc>
      </w:tr>
      <w:tr>
        <w:trPr>
          <w:trHeight w:val="173"/>
        </w:trPr>
        <w:tc>
          <w:tcPr>
            <w:tcW w:w="8200" w:type="dxa"/>
            <w:vAlign w:val="bottom"/>
          </w:tcPr>
          <w:p>
            <w:pPr>
              <w:ind w:left="20"/>
              <w:spacing w:after="0"/>
              <w:rPr>
                <w:sz w:val="20"/>
                <w:szCs w:val="20"/>
                <w:color w:val="auto"/>
              </w:rPr>
            </w:pPr>
            <w:r>
              <w:rPr>
                <w:rFonts w:ascii="Arial" w:cs="Arial" w:eastAsia="Arial" w:hAnsi="Arial"/>
                <w:sz w:val="12"/>
                <w:szCs w:val="12"/>
                <w:color w:val="auto"/>
              </w:rPr>
              <w:t>OCEANES</w:t>
            </w:r>
          </w:p>
        </w:tc>
        <w:tc>
          <w:tcPr>
            <w:tcW w:w="2180" w:type="dxa"/>
            <w:vAlign w:val="bottom"/>
          </w:tcPr>
          <w:p>
            <w:pPr>
              <w:jc w:val="right"/>
              <w:ind w:right="598"/>
              <w:spacing w:after="0"/>
              <w:rPr>
                <w:sz w:val="20"/>
                <w:szCs w:val="20"/>
                <w:color w:val="auto"/>
              </w:rPr>
            </w:pPr>
            <w:r>
              <w:rPr>
                <w:rFonts w:ascii="Arial" w:cs="Arial" w:eastAsia="Arial" w:hAnsi="Arial"/>
                <w:sz w:val="12"/>
                <w:szCs w:val="12"/>
                <w:color w:val="auto"/>
              </w:rPr>
              <w:t>0</w:t>
            </w:r>
          </w:p>
        </w:tc>
        <w:tc>
          <w:tcPr>
            <w:tcW w:w="840" w:type="dxa"/>
            <w:vAlign w:val="bottom"/>
          </w:tcPr>
          <w:p>
            <w:pPr>
              <w:jc w:val="right"/>
              <w:spacing w:after="0"/>
              <w:rPr>
                <w:sz w:val="20"/>
                <w:szCs w:val="20"/>
                <w:color w:val="auto"/>
              </w:rPr>
            </w:pPr>
            <w:r>
              <w:rPr>
                <w:rFonts w:ascii="Arial" w:cs="Arial" w:eastAsia="Arial" w:hAnsi="Arial"/>
                <w:sz w:val="12"/>
                <w:szCs w:val="12"/>
                <w:color w:val="auto"/>
              </w:rPr>
              <w:t>108,939</w:t>
            </w:r>
          </w:p>
        </w:tc>
      </w:tr>
      <w:tr>
        <w:trPr>
          <w:trHeight w:val="26"/>
        </w:trPr>
        <w:tc>
          <w:tcPr>
            <w:tcW w:w="8200" w:type="dxa"/>
            <w:vAlign w:val="bottom"/>
            <w:tcBorders>
              <w:bottom w:val="single" w:sz="8" w:color="242424"/>
            </w:tcBorders>
          </w:tcPr>
          <w:p>
            <w:pPr>
              <w:spacing w:after="0"/>
              <w:rPr>
                <w:sz w:val="2"/>
                <w:szCs w:val="2"/>
                <w:color w:val="auto"/>
              </w:rPr>
            </w:pPr>
          </w:p>
        </w:tc>
        <w:tc>
          <w:tcPr>
            <w:tcW w:w="2180" w:type="dxa"/>
            <w:vAlign w:val="bottom"/>
            <w:tcBorders>
              <w:bottom w:val="single" w:sz="8" w:color="242424"/>
            </w:tcBorders>
          </w:tcPr>
          <w:p>
            <w:pPr>
              <w:spacing w:after="0"/>
              <w:rPr>
                <w:sz w:val="2"/>
                <w:szCs w:val="2"/>
                <w:color w:val="auto"/>
              </w:rPr>
            </w:pPr>
          </w:p>
        </w:tc>
        <w:tc>
          <w:tcPr>
            <w:tcW w:w="840" w:type="dxa"/>
            <w:vAlign w:val="bottom"/>
            <w:tcBorders>
              <w:bottom w:val="single" w:sz="8" w:color="242424"/>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 w:hanging="494"/>
        <w:spacing w:after="0"/>
        <w:tabs>
          <w:tab w:leader="none" w:pos="500" w:val="left"/>
        </w:tabs>
        <w:numPr>
          <w:ilvl w:val="0"/>
          <w:numId w:val="46"/>
        </w:numPr>
        <w:rPr>
          <w:rFonts w:ascii="Arial" w:cs="Arial" w:eastAsia="Arial" w:hAnsi="Arial"/>
          <w:sz w:val="16"/>
          <w:szCs w:val="16"/>
          <w:b w:val="1"/>
          <w:bCs w:val="1"/>
          <w:color w:val="E99D25"/>
        </w:rPr>
      </w:pPr>
      <w:r>
        <w:rPr>
          <w:rFonts w:ascii="Arial" w:cs="Arial" w:eastAsia="Arial" w:hAnsi="Arial"/>
          <w:sz w:val="16"/>
          <w:szCs w:val="16"/>
          <w:b w:val="1"/>
          <w:bCs w:val="1"/>
          <w:color w:val="E99D25"/>
        </w:rPr>
        <w:t>CASH AND CASH EQUIVALENTS</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main components of cash equivalents were:</w:t>
      </w:r>
    </w:p>
    <w:p>
      <w:pPr>
        <w:spacing w:after="0" w:line="93" w:lineRule="exact"/>
        <w:rPr>
          <w:sz w:val="20"/>
          <w:szCs w:val="20"/>
          <w:color w:val="auto"/>
        </w:rPr>
      </w:pPr>
    </w:p>
    <w:p>
      <w:pPr>
        <w:ind w:left="500" w:hanging="240"/>
        <w:spacing w:after="0"/>
        <w:tabs>
          <w:tab w:leader="none" w:pos="500" w:val="left"/>
        </w:tabs>
        <w:numPr>
          <w:ilvl w:val="0"/>
          <w:numId w:val="47"/>
        </w:numPr>
        <w:rPr>
          <w:rFonts w:ascii="Arial" w:cs="Arial" w:eastAsia="Arial" w:hAnsi="Arial"/>
          <w:sz w:val="15"/>
          <w:szCs w:val="15"/>
          <w:color w:val="3C3C3B"/>
        </w:rPr>
      </w:pPr>
      <w:r>
        <w:rPr>
          <w:rFonts w:ascii="Arial" w:cs="Arial" w:eastAsia="Arial" w:hAnsi="Arial"/>
          <w:sz w:val="15"/>
          <w:szCs w:val="15"/>
          <w:color w:val="3C3C3B"/>
        </w:rPr>
        <w:t>UCITS and interest-bearing current accounts, available immediately;</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47"/>
        </w:numPr>
        <w:rPr>
          <w:rFonts w:ascii="Arial" w:cs="Arial" w:eastAsia="Arial" w:hAnsi="Arial"/>
          <w:sz w:val="15"/>
          <w:szCs w:val="15"/>
          <w:color w:val="3C3C3B"/>
        </w:rPr>
      </w:pPr>
      <w:r>
        <w:rPr>
          <w:rFonts w:ascii="Arial" w:cs="Arial" w:eastAsia="Arial" w:hAnsi="Arial"/>
          <w:sz w:val="15"/>
          <w:szCs w:val="15"/>
          <w:color w:val="3C3C3B"/>
        </w:rPr>
        <w:t>Term accounts, available within the contractual maturities or by the way of early exit with no penalty; and</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47"/>
        </w:numPr>
        <w:rPr>
          <w:rFonts w:ascii="Arial" w:cs="Arial" w:eastAsia="Arial" w:hAnsi="Arial"/>
          <w:sz w:val="15"/>
          <w:szCs w:val="15"/>
          <w:color w:val="3C3C3B"/>
        </w:rPr>
      </w:pPr>
      <w:r>
        <w:rPr>
          <w:rFonts w:ascii="Arial" w:cs="Arial" w:eastAsia="Arial" w:hAnsi="Arial"/>
          <w:sz w:val="15"/>
          <w:szCs w:val="15"/>
          <w:color w:val="3C3C3B"/>
        </w:rPr>
        <w:t>Negotiable medium-term notes, available with a quarterly maturity or by the way of early exit with no penalty.</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These investments, summarized in the tables below, are short-term, highly liquid and subject to insignificant risk of changes in value.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40" w:type="dxa"/>
            <w:vAlign w:val="bottom"/>
          </w:tcPr>
          <w:p>
            <w:pPr>
              <w:ind w:left="20"/>
              <w:spacing w:after="0"/>
              <w:rPr>
                <w:sz w:val="20"/>
                <w:szCs w:val="20"/>
                <w:color w:val="auto"/>
              </w:rPr>
            </w:pPr>
            <w:r>
              <w:rPr>
                <w:rFonts w:ascii="Arial" w:cs="Arial" w:eastAsia="Arial" w:hAnsi="Arial"/>
                <w:sz w:val="12"/>
                <w:szCs w:val="12"/>
                <w:b w:val="1"/>
                <w:bCs w:val="1"/>
                <w:color w:val="3C3C3B"/>
              </w:rPr>
              <w:t>Cash and cash equivalents</w:t>
            </w:r>
          </w:p>
        </w:tc>
        <w:tc>
          <w:tcPr>
            <w:tcW w:w="2000" w:type="dxa"/>
            <w:vAlign w:val="bottom"/>
          </w:tcPr>
          <w:p>
            <w:pPr>
              <w:jc w:val="right"/>
              <w:ind w:right="278"/>
              <w:spacing w:after="0"/>
              <w:rPr>
                <w:sz w:val="20"/>
                <w:szCs w:val="20"/>
                <w:color w:val="auto"/>
              </w:rPr>
            </w:pPr>
            <w:r>
              <w:rPr>
                <w:rFonts w:ascii="Arial" w:cs="Arial" w:eastAsia="Arial" w:hAnsi="Arial"/>
                <w:sz w:val="12"/>
                <w:szCs w:val="12"/>
                <w:b w:val="1"/>
                <w:bCs w:val="1"/>
                <w:color w:val="3C3C3B"/>
              </w:rPr>
              <w:t>As of</w:t>
            </w:r>
          </w:p>
        </w:tc>
        <w:tc>
          <w:tcPr>
            <w:tcW w:w="980" w:type="dxa"/>
            <w:vAlign w:val="bottom"/>
          </w:tcPr>
          <w:p>
            <w:pPr>
              <w:spacing w:after="0"/>
              <w:rPr>
                <w:sz w:val="14"/>
                <w:szCs w:val="14"/>
                <w:color w:val="auto"/>
              </w:rPr>
            </w:pPr>
          </w:p>
        </w:tc>
      </w:tr>
      <w:tr>
        <w:trPr>
          <w:trHeight w:val="20"/>
        </w:trPr>
        <w:tc>
          <w:tcPr>
            <w:tcW w:w="82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2"/>
        </w:trPr>
        <w:tc>
          <w:tcPr>
            <w:tcW w:w="824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2000" w:type="dxa"/>
            <w:vAlign w:val="bottom"/>
          </w:tcPr>
          <w:p>
            <w:pPr>
              <w:jc w:val="right"/>
              <w:ind w:right="498"/>
              <w:spacing w:after="0"/>
              <w:rPr>
                <w:sz w:val="20"/>
                <w:szCs w:val="20"/>
                <w:color w:val="auto"/>
              </w:rPr>
            </w:pPr>
            <w:r>
              <w:rPr>
                <w:rFonts w:ascii="Arial" w:cs="Arial" w:eastAsia="Arial" w:hAnsi="Arial"/>
                <w:sz w:val="12"/>
                <w:szCs w:val="12"/>
                <w:b w:val="1"/>
                <w:bCs w:val="1"/>
                <w:color w:val="3C3C3B"/>
              </w:rPr>
              <w:t>2024/12/31</w:t>
            </w:r>
          </w:p>
        </w:tc>
        <w:tc>
          <w:tcPr>
            <w:tcW w:w="98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2"/>
        </w:trPr>
        <w:tc>
          <w:tcPr>
            <w:tcW w:w="824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Short-term deposits</w:t>
            </w:r>
          </w:p>
        </w:tc>
        <w:tc>
          <w:tcPr>
            <w:tcW w:w="2000" w:type="dxa"/>
            <w:vAlign w:val="bottom"/>
            <w:tcBorders>
              <w:bottom w:val="single" w:sz="8" w:color="FDF5E7"/>
            </w:tcBorders>
            <w:shd w:val="clear" w:color="auto" w:fill="FDF5E7"/>
          </w:tcPr>
          <w:p>
            <w:pPr>
              <w:jc w:val="right"/>
              <w:ind w:right="538"/>
              <w:spacing w:after="0"/>
              <w:rPr>
                <w:sz w:val="20"/>
                <w:szCs w:val="20"/>
                <w:color w:val="auto"/>
              </w:rPr>
            </w:pPr>
            <w:r>
              <w:rPr>
                <w:rFonts w:ascii="Arial" w:cs="Arial" w:eastAsia="Arial" w:hAnsi="Arial"/>
                <w:sz w:val="12"/>
                <w:szCs w:val="12"/>
                <w:color w:val="auto"/>
              </w:rPr>
              <w:t>63,027</w:t>
            </w:r>
          </w:p>
        </w:tc>
        <w:tc>
          <w:tcPr>
            <w:tcW w:w="98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96,422</w:t>
            </w:r>
          </w:p>
        </w:tc>
      </w:tr>
      <w:tr>
        <w:trPr>
          <w:trHeight w:val="173"/>
        </w:trPr>
        <w:tc>
          <w:tcPr>
            <w:tcW w:w="8240" w:type="dxa"/>
            <w:vAlign w:val="bottom"/>
          </w:tcPr>
          <w:p>
            <w:pPr>
              <w:ind w:left="20"/>
              <w:spacing w:after="0"/>
              <w:rPr>
                <w:sz w:val="20"/>
                <w:szCs w:val="20"/>
                <w:color w:val="auto"/>
              </w:rPr>
            </w:pPr>
            <w:r>
              <w:rPr>
                <w:rFonts w:ascii="Arial" w:cs="Arial" w:eastAsia="Arial" w:hAnsi="Arial"/>
                <w:sz w:val="12"/>
                <w:szCs w:val="12"/>
                <w:color w:val="3C3C3B"/>
              </w:rPr>
              <w:t>Cash on hand and bank accounts</w:t>
            </w:r>
          </w:p>
        </w:tc>
        <w:tc>
          <w:tcPr>
            <w:tcW w:w="2000" w:type="dxa"/>
            <w:vAlign w:val="bottom"/>
          </w:tcPr>
          <w:p>
            <w:pPr>
              <w:jc w:val="right"/>
              <w:ind w:right="538"/>
              <w:spacing w:after="0"/>
              <w:rPr>
                <w:sz w:val="20"/>
                <w:szCs w:val="20"/>
                <w:color w:val="auto"/>
              </w:rPr>
            </w:pPr>
            <w:r>
              <w:rPr>
                <w:rFonts w:ascii="Arial" w:cs="Arial" w:eastAsia="Arial" w:hAnsi="Arial"/>
                <w:sz w:val="12"/>
                <w:szCs w:val="12"/>
                <w:color w:val="auto"/>
              </w:rPr>
              <w:t>18,761</w:t>
            </w:r>
          </w:p>
        </w:tc>
        <w:tc>
          <w:tcPr>
            <w:tcW w:w="980" w:type="dxa"/>
            <w:vAlign w:val="bottom"/>
          </w:tcPr>
          <w:p>
            <w:pPr>
              <w:jc w:val="right"/>
              <w:spacing w:after="0"/>
              <w:rPr>
                <w:sz w:val="20"/>
                <w:szCs w:val="20"/>
                <w:color w:val="auto"/>
              </w:rPr>
            </w:pPr>
            <w:r>
              <w:rPr>
                <w:rFonts w:ascii="Arial" w:cs="Arial" w:eastAsia="Arial" w:hAnsi="Arial"/>
                <w:sz w:val="12"/>
                <w:szCs w:val="12"/>
                <w:color w:val="auto"/>
              </w:rPr>
              <w:t>11,090</w:t>
            </w:r>
          </w:p>
        </w:tc>
      </w:tr>
      <w:tr>
        <w:trPr>
          <w:trHeight w:val="26"/>
        </w:trPr>
        <w:tc>
          <w:tcPr>
            <w:tcW w:w="8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2"/>
        </w:trPr>
        <w:tc>
          <w:tcPr>
            <w:tcW w:w="8240" w:type="dxa"/>
            <w:vAlign w:val="bottom"/>
          </w:tcPr>
          <w:p>
            <w:pPr>
              <w:ind w:left="20"/>
              <w:spacing w:after="0"/>
              <w:rPr>
                <w:sz w:val="20"/>
                <w:szCs w:val="20"/>
                <w:color w:val="auto"/>
              </w:rPr>
            </w:pPr>
            <w:r>
              <w:rPr>
                <w:rFonts w:ascii="Arial" w:cs="Arial" w:eastAsia="Arial" w:hAnsi="Arial"/>
                <w:sz w:val="12"/>
                <w:szCs w:val="12"/>
                <w:b w:val="1"/>
                <w:bCs w:val="1"/>
                <w:color w:val="E99D25"/>
              </w:rPr>
              <w:t>TOTAL</w:t>
            </w:r>
          </w:p>
        </w:tc>
        <w:tc>
          <w:tcPr>
            <w:tcW w:w="2000" w:type="dxa"/>
            <w:vAlign w:val="bottom"/>
          </w:tcPr>
          <w:p>
            <w:pPr>
              <w:jc w:val="right"/>
              <w:ind w:right="538"/>
              <w:spacing w:after="0"/>
              <w:rPr>
                <w:sz w:val="20"/>
                <w:szCs w:val="20"/>
                <w:color w:val="auto"/>
              </w:rPr>
            </w:pPr>
            <w:r>
              <w:rPr>
                <w:rFonts w:ascii="Arial" w:cs="Arial" w:eastAsia="Arial" w:hAnsi="Arial"/>
                <w:sz w:val="12"/>
                <w:szCs w:val="12"/>
                <w:b w:val="1"/>
                <w:bCs w:val="1"/>
                <w:color w:val="E79B3F"/>
              </w:rPr>
              <w:t>81,788</w:t>
            </w:r>
          </w:p>
        </w:tc>
        <w:tc>
          <w:tcPr>
            <w:tcW w:w="980" w:type="dxa"/>
            <w:vAlign w:val="bottom"/>
          </w:tcPr>
          <w:p>
            <w:pPr>
              <w:jc w:val="right"/>
              <w:spacing w:after="0"/>
              <w:rPr>
                <w:sz w:val="20"/>
                <w:szCs w:val="20"/>
                <w:color w:val="auto"/>
              </w:rPr>
            </w:pPr>
            <w:r>
              <w:rPr>
                <w:rFonts w:ascii="Arial" w:cs="Arial" w:eastAsia="Arial" w:hAnsi="Arial"/>
                <w:sz w:val="12"/>
                <w:szCs w:val="12"/>
                <w:b w:val="1"/>
                <w:bCs w:val="1"/>
                <w:color w:val="E99D25"/>
              </w:rPr>
              <w:t>107,511</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3C3C3B"/>
        </w:rPr>
        <w:t>Short-term deposits are comprised of:</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80" w:type="dxa"/>
            <w:vAlign w:val="bottom"/>
          </w:tcPr>
          <w:p>
            <w:pPr>
              <w:ind w:left="20"/>
              <w:spacing w:after="0"/>
              <w:rPr>
                <w:sz w:val="20"/>
                <w:szCs w:val="20"/>
                <w:color w:val="auto"/>
              </w:rPr>
            </w:pPr>
            <w:r>
              <w:rPr>
                <w:rFonts w:ascii="Arial" w:cs="Arial" w:eastAsia="Arial" w:hAnsi="Arial"/>
                <w:sz w:val="12"/>
                <w:szCs w:val="12"/>
                <w:b w:val="1"/>
                <w:bCs w:val="1"/>
                <w:color w:val="3C3C3B"/>
              </w:rPr>
              <w:t>Short-term deposits</w:t>
            </w:r>
          </w:p>
        </w:tc>
        <w:tc>
          <w:tcPr>
            <w:tcW w:w="2120" w:type="dxa"/>
            <w:vAlign w:val="bottom"/>
          </w:tcPr>
          <w:p>
            <w:pPr>
              <w:jc w:val="right"/>
              <w:ind w:right="338"/>
              <w:spacing w:after="0"/>
              <w:rPr>
                <w:sz w:val="20"/>
                <w:szCs w:val="20"/>
                <w:color w:val="auto"/>
              </w:rPr>
            </w:pPr>
            <w:r>
              <w:rPr>
                <w:rFonts w:ascii="Arial" w:cs="Arial" w:eastAsia="Arial" w:hAnsi="Arial"/>
                <w:sz w:val="12"/>
                <w:szCs w:val="12"/>
                <w:b w:val="1"/>
                <w:bCs w:val="1"/>
                <w:color w:val="3C3C3B"/>
              </w:rPr>
              <w:t>As of</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2"/>
                <w:szCs w:val="12"/>
                <w:b w:val="1"/>
                <w:bCs w:val="1"/>
                <w:color w:val="3C3C3B"/>
              </w:rPr>
              <w:t>(in € thousands)</w:t>
            </w:r>
          </w:p>
        </w:tc>
        <w:tc>
          <w:tcPr>
            <w:tcW w:w="2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8080" w:type="dxa"/>
            <w:vAlign w:val="bottom"/>
            <w:vMerge w:val="continue"/>
          </w:tcPr>
          <w:p>
            <w:pPr>
              <w:spacing w:after="0"/>
              <w:rPr>
                <w:sz w:val="14"/>
                <w:szCs w:val="14"/>
                <w:color w:val="auto"/>
              </w:rPr>
            </w:pPr>
          </w:p>
        </w:tc>
        <w:tc>
          <w:tcPr>
            <w:tcW w:w="2120" w:type="dxa"/>
            <w:vAlign w:val="bottom"/>
          </w:tcPr>
          <w:p>
            <w:pPr>
              <w:jc w:val="right"/>
              <w:ind w:right="558"/>
              <w:spacing w:after="0"/>
              <w:rPr>
                <w:sz w:val="20"/>
                <w:szCs w:val="20"/>
                <w:color w:val="auto"/>
              </w:rPr>
            </w:pPr>
            <w:r>
              <w:rPr>
                <w:rFonts w:ascii="Arial" w:cs="Arial" w:eastAsia="Arial" w:hAnsi="Arial"/>
                <w:sz w:val="12"/>
                <w:szCs w:val="12"/>
                <w:b w:val="1"/>
                <w:bCs w:val="1"/>
                <w:color w:val="3C3C3B"/>
              </w:rPr>
              <w:t>2024/12/31</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c>
          <w:tcPr>
            <w:tcW w:w="0" w:type="dxa"/>
            <w:vAlign w:val="bottom"/>
          </w:tcPr>
          <w:p>
            <w:pPr>
              <w:spacing w:after="0"/>
              <w:rPr>
                <w:sz w:val="1"/>
                <w:szCs w:val="1"/>
                <w:color w:val="auto"/>
              </w:rPr>
            </w:pPr>
          </w:p>
        </w:tc>
      </w:tr>
      <w:tr>
        <w:trPr>
          <w:trHeight w:val="20"/>
        </w:trPr>
        <w:tc>
          <w:tcPr>
            <w:tcW w:w="80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808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auto"/>
              </w:rPr>
              <w:t>TERM ACCOUNTS</w:t>
            </w:r>
          </w:p>
        </w:tc>
        <w:tc>
          <w:tcPr>
            <w:tcW w:w="2120" w:type="dxa"/>
            <w:vAlign w:val="bottom"/>
            <w:tcBorders>
              <w:bottom w:val="single" w:sz="8" w:color="FDF5E7"/>
            </w:tcBorders>
            <w:shd w:val="clear" w:color="auto" w:fill="FDF5E7"/>
          </w:tcPr>
          <w:p>
            <w:pPr>
              <w:jc w:val="right"/>
              <w:ind w:right="598"/>
              <w:spacing w:after="0"/>
              <w:rPr>
                <w:sz w:val="20"/>
                <w:szCs w:val="20"/>
                <w:color w:val="auto"/>
              </w:rPr>
            </w:pPr>
            <w:r>
              <w:rPr>
                <w:rFonts w:ascii="Arial" w:cs="Arial" w:eastAsia="Arial" w:hAnsi="Arial"/>
                <w:sz w:val="12"/>
                <w:szCs w:val="12"/>
                <w:color w:val="auto"/>
              </w:rPr>
              <w:t>63,027</w:t>
            </w:r>
          </w:p>
        </w:tc>
        <w:tc>
          <w:tcPr>
            <w:tcW w:w="10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96,422</w:t>
            </w:r>
          </w:p>
        </w:tc>
        <w:tc>
          <w:tcPr>
            <w:tcW w:w="0" w:type="dxa"/>
            <w:vAlign w:val="bottom"/>
          </w:tcPr>
          <w:p>
            <w:pPr>
              <w:spacing w:after="0"/>
              <w:rPr>
                <w:sz w:val="1"/>
                <w:szCs w:val="1"/>
                <w:color w:val="auto"/>
              </w:rPr>
            </w:pPr>
          </w:p>
        </w:tc>
      </w:tr>
      <w:tr>
        <w:trPr>
          <w:trHeight w:val="172"/>
        </w:trPr>
        <w:tc>
          <w:tcPr>
            <w:tcW w:w="808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E99D25"/>
              </w:rPr>
              <w:t>TOTAL</w:t>
            </w:r>
          </w:p>
        </w:tc>
        <w:tc>
          <w:tcPr>
            <w:tcW w:w="2120" w:type="dxa"/>
            <w:vAlign w:val="bottom"/>
            <w:tcBorders>
              <w:top w:val="single" w:sz="8" w:color="auto"/>
            </w:tcBorders>
          </w:tcPr>
          <w:p>
            <w:pPr>
              <w:jc w:val="right"/>
              <w:ind w:right="598"/>
              <w:spacing w:after="0"/>
              <w:rPr>
                <w:sz w:val="20"/>
                <w:szCs w:val="20"/>
                <w:color w:val="auto"/>
              </w:rPr>
            </w:pPr>
            <w:r>
              <w:rPr>
                <w:rFonts w:ascii="Arial" w:cs="Arial" w:eastAsia="Arial" w:hAnsi="Arial"/>
                <w:sz w:val="12"/>
                <w:szCs w:val="12"/>
                <w:b w:val="1"/>
                <w:bCs w:val="1"/>
                <w:color w:val="E79B3F"/>
              </w:rPr>
              <w:t>63,027</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E99D25"/>
              </w:rPr>
              <w:t>96,422</w:t>
            </w:r>
          </w:p>
        </w:tc>
        <w:tc>
          <w:tcPr>
            <w:tcW w:w="0" w:type="dxa"/>
            <w:vAlign w:val="bottom"/>
          </w:tcPr>
          <w:p>
            <w:pPr>
              <w:spacing w:after="0"/>
              <w:rPr>
                <w:sz w:val="1"/>
                <w:szCs w:val="1"/>
                <w:color w:val="auto"/>
              </w:rPr>
            </w:pPr>
          </w:p>
        </w:tc>
      </w:tr>
      <w:tr>
        <w:trPr>
          <w:trHeight w:val="20"/>
        </w:trPr>
        <w:tc>
          <w:tcPr>
            <w:tcW w:w="80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9"/>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29</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35" w:name="page36"/>
    <w:bookmarkEnd w:id="35"/>
    <w:p>
      <w:pPr>
        <w:ind w:left="500" w:hanging="494"/>
        <w:spacing w:after="0"/>
        <w:tabs>
          <w:tab w:leader="none" w:pos="500" w:val="left"/>
        </w:tabs>
        <w:numPr>
          <w:ilvl w:val="0"/>
          <w:numId w:val="48"/>
        </w:numPr>
        <w:rPr>
          <w:rFonts w:ascii="Arial" w:cs="Arial" w:eastAsia="Arial" w:hAnsi="Arial"/>
          <w:sz w:val="16"/>
          <w:szCs w:val="16"/>
          <w:b w:val="1"/>
          <w:bCs w:val="1"/>
          <w:color w:val="E99D25"/>
        </w:rPr>
      </w:pPr>
      <w:r>
        <w:rPr>
          <w:rFonts w:ascii="Arial" w:cs="Arial" w:eastAsia="Arial" w:hAnsi="Arial"/>
          <w:sz w:val="16"/>
          <w:szCs w:val="16"/>
          <w:b w:val="1"/>
          <w:bCs w:val="1"/>
          <w:color w:val="E99D25"/>
        </w:rPr>
        <w:t>CURRENT TRADE AND OTHER RECEIVABLES</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3C3C3B"/>
        </w:rPr>
        <w:t>Financial statement line item detail</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60" w:type="dxa"/>
            <w:vAlign w:val="bottom"/>
          </w:tcPr>
          <w:p>
            <w:pPr>
              <w:ind w:left="20"/>
              <w:spacing w:after="0"/>
              <w:rPr>
                <w:sz w:val="20"/>
                <w:szCs w:val="20"/>
                <w:color w:val="auto"/>
              </w:rPr>
            </w:pPr>
            <w:r>
              <w:rPr>
                <w:rFonts w:ascii="Arial" w:cs="Arial" w:eastAsia="Arial" w:hAnsi="Arial"/>
                <w:sz w:val="12"/>
                <w:szCs w:val="12"/>
                <w:b w:val="1"/>
                <w:bCs w:val="1"/>
                <w:color w:val="3C3C3B"/>
              </w:rPr>
              <w:t>Trade and other receivables - Total</w:t>
            </w:r>
          </w:p>
        </w:tc>
        <w:tc>
          <w:tcPr>
            <w:tcW w:w="120" w:type="dxa"/>
            <w:vAlign w:val="bottom"/>
          </w:tcPr>
          <w:p>
            <w:pPr>
              <w:spacing w:after="0"/>
              <w:rPr>
                <w:sz w:val="14"/>
                <w:szCs w:val="14"/>
                <w:color w:val="auto"/>
              </w:rPr>
            </w:pPr>
          </w:p>
        </w:tc>
        <w:tc>
          <w:tcPr>
            <w:tcW w:w="2120" w:type="dxa"/>
            <w:vAlign w:val="bottom"/>
          </w:tcPr>
          <w:p>
            <w:pPr>
              <w:jc w:val="right"/>
              <w:ind w:right="338"/>
              <w:spacing w:after="0"/>
              <w:rPr>
                <w:sz w:val="20"/>
                <w:szCs w:val="20"/>
                <w:color w:val="auto"/>
              </w:rPr>
            </w:pPr>
            <w:r>
              <w:rPr>
                <w:rFonts w:ascii="Arial" w:cs="Arial" w:eastAsia="Arial" w:hAnsi="Arial"/>
                <w:sz w:val="12"/>
                <w:szCs w:val="12"/>
                <w:b w:val="1"/>
                <w:bCs w:val="1"/>
                <w:color w:val="3C3C3B"/>
              </w:rPr>
              <w:t>As of</w:t>
            </w:r>
          </w:p>
        </w:tc>
        <w:tc>
          <w:tcPr>
            <w:tcW w:w="1020" w:type="dxa"/>
            <w:vAlign w:val="bottom"/>
          </w:tcPr>
          <w:p>
            <w:pPr>
              <w:spacing w:after="0"/>
              <w:rPr>
                <w:sz w:val="14"/>
                <w:szCs w:val="14"/>
                <w:color w:val="auto"/>
              </w:rPr>
            </w:pPr>
          </w:p>
        </w:tc>
      </w:tr>
      <w:tr>
        <w:trPr>
          <w:trHeight w:val="20"/>
        </w:trPr>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2"/>
        </w:trPr>
        <w:tc>
          <w:tcPr>
            <w:tcW w:w="796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2240" w:type="dxa"/>
            <w:vAlign w:val="bottom"/>
            <w:gridSpan w:val="2"/>
          </w:tcPr>
          <w:p>
            <w:pPr>
              <w:jc w:val="right"/>
              <w:ind w:right="558"/>
              <w:spacing w:after="0"/>
              <w:rPr>
                <w:sz w:val="20"/>
                <w:szCs w:val="20"/>
                <w:color w:val="auto"/>
              </w:rPr>
            </w:pPr>
            <w:r>
              <w:rPr>
                <w:rFonts w:ascii="Arial" w:cs="Arial" w:eastAsia="Arial" w:hAnsi="Arial"/>
                <w:sz w:val="12"/>
                <w:szCs w:val="12"/>
                <w:b w:val="1"/>
                <w:bCs w:val="1"/>
                <w:color w:val="3C3C3B"/>
              </w:rPr>
              <w:t>2024/12/31</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2"/>
        </w:trPr>
        <w:tc>
          <w:tcPr>
            <w:tcW w:w="79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Trade receivables, net</w:t>
            </w:r>
          </w:p>
        </w:tc>
        <w:tc>
          <w:tcPr>
            <w:tcW w:w="2240" w:type="dxa"/>
            <w:vAlign w:val="bottom"/>
            <w:tcBorders>
              <w:bottom w:val="single" w:sz="8" w:color="FDF5E7"/>
            </w:tcBorders>
            <w:gridSpan w:val="2"/>
            <w:shd w:val="clear" w:color="auto" w:fill="FDF5E7"/>
          </w:tcPr>
          <w:p>
            <w:pPr>
              <w:jc w:val="right"/>
              <w:ind w:right="598"/>
              <w:spacing w:after="0"/>
              <w:rPr>
                <w:sz w:val="20"/>
                <w:szCs w:val="20"/>
                <w:color w:val="auto"/>
              </w:rPr>
            </w:pPr>
            <w:r>
              <w:rPr>
                <w:rFonts w:ascii="Arial" w:cs="Arial" w:eastAsia="Arial" w:hAnsi="Arial"/>
                <w:sz w:val="12"/>
                <w:szCs w:val="12"/>
                <w:color w:val="auto"/>
              </w:rPr>
              <w:t>2,140</w:t>
            </w:r>
          </w:p>
        </w:tc>
        <w:tc>
          <w:tcPr>
            <w:tcW w:w="10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36,870</w:t>
            </w:r>
          </w:p>
        </w:tc>
      </w:tr>
      <w:tr>
        <w:trPr>
          <w:trHeight w:val="173"/>
        </w:trPr>
        <w:tc>
          <w:tcPr>
            <w:tcW w:w="7960" w:type="dxa"/>
            <w:vAlign w:val="bottom"/>
          </w:tcPr>
          <w:p>
            <w:pPr>
              <w:ind w:left="20"/>
              <w:spacing w:after="0"/>
              <w:rPr>
                <w:sz w:val="20"/>
                <w:szCs w:val="20"/>
                <w:color w:val="auto"/>
              </w:rPr>
            </w:pPr>
            <w:r>
              <w:rPr>
                <w:rFonts w:ascii="Arial" w:cs="Arial" w:eastAsia="Arial" w:hAnsi="Arial"/>
                <w:sz w:val="12"/>
                <w:szCs w:val="12"/>
                <w:color w:val="3C3C3B"/>
              </w:rPr>
              <w:t>Research tax credit</w:t>
            </w:r>
          </w:p>
        </w:tc>
        <w:tc>
          <w:tcPr>
            <w:tcW w:w="2240" w:type="dxa"/>
            <w:vAlign w:val="bottom"/>
            <w:gridSpan w:val="2"/>
          </w:tcPr>
          <w:p>
            <w:pPr>
              <w:jc w:val="right"/>
              <w:ind w:right="598"/>
              <w:spacing w:after="0"/>
              <w:rPr>
                <w:sz w:val="20"/>
                <w:szCs w:val="20"/>
                <w:color w:val="auto"/>
              </w:rPr>
            </w:pPr>
            <w:r>
              <w:rPr>
                <w:rFonts w:ascii="Arial" w:cs="Arial" w:eastAsia="Arial" w:hAnsi="Arial"/>
                <w:sz w:val="12"/>
                <w:szCs w:val="12"/>
                <w:color w:val="auto"/>
              </w:rPr>
              <w:t>3,392</w:t>
            </w:r>
          </w:p>
        </w:tc>
        <w:tc>
          <w:tcPr>
            <w:tcW w:w="1020" w:type="dxa"/>
            <w:vAlign w:val="bottom"/>
          </w:tcPr>
          <w:p>
            <w:pPr>
              <w:jc w:val="right"/>
              <w:spacing w:after="0"/>
              <w:rPr>
                <w:sz w:val="20"/>
                <w:szCs w:val="20"/>
                <w:color w:val="auto"/>
              </w:rPr>
            </w:pPr>
            <w:r>
              <w:rPr>
                <w:rFonts w:ascii="Arial" w:cs="Arial" w:eastAsia="Arial" w:hAnsi="Arial"/>
                <w:sz w:val="12"/>
                <w:szCs w:val="12"/>
                <w:color w:val="auto"/>
              </w:rPr>
              <w:t>5,330</w:t>
            </w:r>
          </w:p>
        </w:tc>
      </w:tr>
      <w:tr>
        <w:trPr>
          <w:trHeight w:val="26"/>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3"/>
        </w:trPr>
        <w:tc>
          <w:tcPr>
            <w:tcW w:w="7960" w:type="dxa"/>
            <w:vAlign w:val="bottom"/>
            <w:shd w:val="clear" w:color="auto" w:fill="FDF5E7"/>
          </w:tcPr>
          <w:p>
            <w:pPr>
              <w:ind w:left="20"/>
              <w:spacing w:after="0"/>
              <w:rPr>
                <w:sz w:val="20"/>
                <w:szCs w:val="20"/>
                <w:color w:val="auto"/>
              </w:rPr>
            </w:pPr>
            <w:r>
              <w:rPr>
                <w:rFonts w:ascii="Arial" w:cs="Arial" w:eastAsia="Arial" w:hAnsi="Arial"/>
                <w:sz w:val="12"/>
                <w:szCs w:val="12"/>
                <w:color w:val="3C3C3B"/>
              </w:rPr>
              <w:t>Social security costs receivables</w:t>
            </w:r>
          </w:p>
        </w:tc>
        <w:tc>
          <w:tcPr>
            <w:tcW w:w="120" w:type="dxa"/>
            <w:vAlign w:val="bottom"/>
            <w:shd w:val="clear" w:color="auto" w:fill="FDF5E7"/>
          </w:tcPr>
          <w:p>
            <w:pPr>
              <w:spacing w:after="0"/>
              <w:rPr>
                <w:sz w:val="15"/>
                <w:szCs w:val="15"/>
                <w:color w:val="auto"/>
              </w:rPr>
            </w:pPr>
          </w:p>
        </w:tc>
        <w:tc>
          <w:tcPr>
            <w:tcW w:w="2120" w:type="dxa"/>
            <w:vAlign w:val="bottom"/>
            <w:shd w:val="clear" w:color="auto" w:fill="FDF5E7"/>
          </w:tcPr>
          <w:p>
            <w:pPr>
              <w:jc w:val="right"/>
              <w:ind w:right="598"/>
              <w:spacing w:after="0"/>
              <w:rPr>
                <w:sz w:val="20"/>
                <w:szCs w:val="20"/>
                <w:color w:val="auto"/>
              </w:rPr>
            </w:pPr>
            <w:r>
              <w:rPr>
                <w:rFonts w:ascii="Arial" w:cs="Arial" w:eastAsia="Arial" w:hAnsi="Arial"/>
                <w:sz w:val="12"/>
                <w:szCs w:val="12"/>
                <w:color w:val="auto"/>
              </w:rPr>
              <w:t>—</w:t>
            </w:r>
          </w:p>
        </w:tc>
        <w:tc>
          <w:tcPr>
            <w:tcW w:w="1020" w:type="dxa"/>
            <w:vAlign w:val="bottom"/>
            <w:shd w:val="clear" w:color="auto" w:fill="FDF5E7"/>
          </w:tcPr>
          <w:p>
            <w:pPr>
              <w:jc w:val="right"/>
              <w:spacing w:after="0"/>
              <w:rPr>
                <w:sz w:val="20"/>
                <w:szCs w:val="20"/>
                <w:color w:val="auto"/>
              </w:rPr>
            </w:pPr>
            <w:r>
              <w:rPr>
                <w:rFonts w:ascii="Arial" w:cs="Arial" w:eastAsia="Arial" w:hAnsi="Arial"/>
                <w:sz w:val="12"/>
                <w:szCs w:val="12"/>
                <w:color w:val="auto"/>
              </w:rPr>
              <w:t>3</w:t>
            </w:r>
          </w:p>
        </w:tc>
      </w:tr>
      <w:tr>
        <w:trPr>
          <w:trHeight w:val="205"/>
        </w:trPr>
        <w:tc>
          <w:tcPr>
            <w:tcW w:w="79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VAT receivables</w:t>
            </w:r>
          </w:p>
        </w:tc>
        <w:tc>
          <w:tcPr>
            <w:tcW w:w="2240" w:type="dxa"/>
            <w:vAlign w:val="bottom"/>
            <w:tcBorders>
              <w:bottom w:val="single" w:sz="8" w:color="FDF5E7"/>
            </w:tcBorders>
            <w:gridSpan w:val="2"/>
            <w:shd w:val="clear" w:color="auto" w:fill="FDF5E7"/>
          </w:tcPr>
          <w:p>
            <w:pPr>
              <w:jc w:val="right"/>
              <w:ind w:right="598"/>
              <w:spacing w:after="0"/>
              <w:rPr>
                <w:sz w:val="20"/>
                <w:szCs w:val="20"/>
                <w:color w:val="auto"/>
              </w:rPr>
            </w:pPr>
            <w:r>
              <w:rPr>
                <w:rFonts w:ascii="Arial" w:cs="Arial" w:eastAsia="Arial" w:hAnsi="Arial"/>
                <w:sz w:val="12"/>
                <w:szCs w:val="12"/>
                <w:color w:val="auto"/>
              </w:rPr>
              <w:t>1,043</w:t>
            </w:r>
          </w:p>
        </w:tc>
        <w:tc>
          <w:tcPr>
            <w:tcW w:w="10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1,464</w:t>
            </w:r>
          </w:p>
        </w:tc>
      </w:tr>
      <w:tr>
        <w:trPr>
          <w:trHeight w:val="173"/>
        </w:trPr>
        <w:tc>
          <w:tcPr>
            <w:tcW w:w="7960" w:type="dxa"/>
            <w:vAlign w:val="bottom"/>
          </w:tcPr>
          <w:p>
            <w:pPr>
              <w:ind w:left="20"/>
              <w:spacing w:after="0"/>
              <w:rPr>
                <w:sz w:val="20"/>
                <w:szCs w:val="20"/>
                <w:color w:val="auto"/>
              </w:rPr>
            </w:pPr>
            <w:r>
              <w:rPr>
                <w:rFonts w:ascii="Arial" w:cs="Arial" w:eastAsia="Arial" w:hAnsi="Arial"/>
                <w:sz w:val="12"/>
                <w:szCs w:val="12"/>
                <w:color w:val="3C3C3B"/>
              </w:rPr>
              <w:t>Grants receivables</w:t>
            </w:r>
          </w:p>
        </w:tc>
        <w:tc>
          <w:tcPr>
            <w:tcW w:w="2240" w:type="dxa"/>
            <w:vAlign w:val="bottom"/>
            <w:gridSpan w:val="2"/>
          </w:tcPr>
          <w:p>
            <w:pPr>
              <w:jc w:val="right"/>
              <w:ind w:right="598"/>
              <w:spacing w:after="0"/>
              <w:rPr>
                <w:sz w:val="20"/>
                <w:szCs w:val="20"/>
                <w:color w:val="auto"/>
              </w:rPr>
            </w:pPr>
            <w:r>
              <w:rPr>
                <w:rFonts w:ascii="Arial" w:cs="Arial" w:eastAsia="Arial" w:hAnsi="Arial"/>
                <w:sz w:val="12"/>
                <w:szCs w:val="12"/>
                <w:color w:val="auto"/>
              </w:rPr>
              <w:t>8</w:t>
            </w:r>
          </w:p>
        </w:tc>
        <w:tc>
          <w:tcPr>
            <w:tcW w:w="102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26"/>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4"/>
        </w:trPr>
        <w:tc>
          <w:tcPr>
            <w:tcW w:w="79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Other receivables</w:t>
            </w:r>
          </w:p>
        </w:tc>
        <w:tc>
          <w:tcPr>
            <w:tcW w:w="2240" w:type="dxa"/>
            <w:vAlign w:val="bottom"/>
            <w:tcBorders>
              <w:bottom w:val="single" w:sz="8" w:color="FDF5E7"/>
            </w:tcBorders>
            <w:gridSpan w:val="2"/>
            <w:shd w:val="clear" w:color="auto" w:fill="FDF5E7"/>
          </w:tcPr>
          <w:p>
            <w:pPr>
              <w:jc w:val="right"/>
              <w:ind w:right="598"/>
              <w:spacing w:after="0"/>
              <w:rPr>
                <w:sz w:val="20"/>
                <w:szCs w:val="20"/>
                <w:color w:val="auto"/>
              </w:rPr>
            </w:pPr>
            <w:r>
              <w:rPr>
                <w:rFonts w:ascii="Arial" w:cs="Arial" w:eastAsia="Arial" w:hAnsi="Arial"/>
                <w:sz w:val="12"/>
                <w:szCs w:val="12"/>
                <w:color w:val="auto"/>
              </w:rPr>
              <w:t>981</w:t>
            </w:r>
          </w:p>
        </w:tc>
        <w:tc>
          <w:tcPr>
            <w:tcW w:w="10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38</w:t>
            </w:r>
          </w:p>
        </w:tc>
      </w:tr>
      <w:tr>
        <w:trPr>
          <w:trHeight w:val="172"/>
        </w:trPr>
        <w:tc>
          <w:tcPr>
            <w:tcW w:w="796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E99D25"/>
              </w:rPr>
              <w:t>TOTAL</w:t>
            </w:r>
          </w:p>
        </w:tc>
        <w:tc>
          <w:tcPr>
            <w:tcW w:w="2240" w:type="dxa"/>
            <w:vAlign w:val="bottom"/>
            <w:tcBorders>
              <w:top w:val="single" w:sz="8" w:color="auto"/>
            </w:tcBorders>
            <w:gridSpan w:val="2"/>
          </w:tcPr>
          <w:p>
            <w:pPr>
              <w:jc w:val="right"/>
              <w:ind w:right="598"/>
              <w:spacing w:after="0"/>
              <w:rPr>
                <w:sz w:val="20"/>
                <w:szCs w:val="20"/>
                <w:color w:val="auto"/>
              </w:rPr>
            </w:pPr>
            <w:r>
              <w:rPr>
                <w:rFonts w:ascii="Arial" w:cs="Arial" w:eastAsia="Arial" w:hAnsi="Arial"/>
                <w:sz w:val="12"/>
                <w:szCs w:val="12"/>
                <w:b w:val="1"/>
                <w:bCs w:val="1"/>
                <w:color w:val="auto"/>
              </w:rPr>
              <w:t>7,564</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E99D25"/>
              </w:rPr>
              <w:t>43,709</w:t>
            </w: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2"/>
        </w:trPr>
        <w:tc>
          <w:tcPr>
            <w:tcW w:w="79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Of which : Current</w:t>
            </w:r>
          </w:p>
        </w:tc>
        <w:tc>
          <w:tcPr>
            <w:tcW w:w="2240" w:type="dxa"/>
            <w:vAlign w:val="bottom"/>
            <w:tcBorders>
              <w:bottom w:val="single" w:sz="8" w:color="FDF5E7"/>
            </w:tcBorders>
            <w:gridSpan w:val="2"/>
            <w:shd w:val="clear" w:color="auto" w:fill="FDF5E7"/>
          </w:tcPr>
          <w:p>
            <w:pPr>
              <w:jc w:val="right"/>
              <w:ind w:right="598"/>
              <w:spacing w:after="0"/>
              <w:rPr>
                <w:sz w:val="20"/>
                <w:szCs w:val="20"/>
                <w:color w:val="auto"/>
              </w:rPr>
            </w:pPr>
            <w:r>
              <w:rPr>
                <w:rFonts w:ascii="Arial" w:cs="Arial" w:eastAsia="Arial" w:hAnsi="Arial"/>
                <w:sz w:val="12"/>
                <w:szCs w:val="12"/>
                <w:color w:val="auto"/>
              </w:rPr>
              <w:t>7,564</w:t>
            </w:r>
          </w:p>
        </w:tc>
        <w:tc>
          <w:tcPr>
            <w:tcW w:w="10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43,709</w:t>
            </w:r>
          </w:p>
        </w:tc>
      </w:tr>
      <w:tr>
        <w:trPr>
          <w:trHeight w:val="173"/>
        </w:trPr>
        <w:tc>
          <w:tcPr>
            <w:tcW w:w="7960" w:type="dxa"/>
            <w:vAlign w:val="bottom"/>
          </w:tcPr>
          <w:p>
            <w:pPr>
              <w:ind w:left="20"/>
              <w:spacing w:after="0"/>
              <w:rPr>
                <w:sz w:val="20"/>
                <w:szCs w:val="20"/>
                <w:color w:val="auto"/>
              </w:rPr>
            </w:pPr>
            <w:r>
              <w:rPr>
                <w:rFonts w:ascii="Arial" w:cs="Arial" w:eastAsia="Arial" w:hAnsi="Arial"/>
                <w:sz w:val="12"/>
                <w:szCs w:val="12"/>
                <w:color w:val="3C3C3B"/>
              </w:rPr>
              <w:t>Of which : Non-current</w:t>
            </w:r>
          </w:p>
        </w:tc>
        <w:tc>
          <w:tcPr>
            <w:tcW w:w="120" w:type="dxa"/>
            <w:vAlign w:val="bottom"/>
          </w:tcPr>
          <w:p>
            <w:pPr>
              <w:spacing w:after="0"/>
              <w:rPr>
                <w:sz w:val="15"/>
                <w:szCs w:val="15"/>
                <w:color w:val="auto"/>
              </w:rPr>
            </w:pPr>
          </w:p>
        </w:tc>
        <w:tc>
          <w:tcPr>
            <w:tcW w:w="2120" w:type="dxa"/>
            <w:vAlign w:val="bottom"/>
          </w:tcPr>
          <w:p>
            <w:pPr>
              <w:jc w:val="right"/>
              <w:ind w:right="598"/>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6"/>
        </w:trPr>
        <w:tc>
          <w:tcPr>
            <w:tcW w:w="7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48"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Trade receivables, net</w:t>
      </w:r>
    </w:p>
    <w:p>
      <w:pPr>
        <w:spacing w:after="0" w:line="18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5"/>
          <w:szCs w:val="15"/>
          <w:color w:val="3C3C3B"/>
        </w:rPr>
        <w:t>Trade receivables amounted to €36,870 as of June 30, 2025 and €2,140 as of December 31, 2024. The balance mainly corresponds to revenue related to the Licence and Collaboration Agreement with Ipsen.</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Research tax credit</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research tax credit receivable as of June 30, 2025 amounts to €5,330 and €3,392 as of December 31, 2024.</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VAT receivables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VAT receivable amounted to €1,464 at June 30, 2025 (€1,043 at December 31, 2024).</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Other receivables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line item “other receivables” primarily consists of credit notes from suppliers as of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00" w:hanging="494"/>
        <w:spacing w:after="0"/>
        <w:tabs>
          <w:tab w:leader="none" w:pos="500" w:val="left"/>
        </w:tabs>
        <w:numPr>
          <w:ilvl w:val="0"/>
          <w:numId w:val="49"/>
        </w:numPr>
        <w:rPr>
          <w:rFonts w:ascii="Arial" w:cs="Arial" w:eastAsia="Arial" w:hAnsi="Arial"/>
          <w:sz w:val="16"/>
          <w:szCs w:val="16"/>
          <w:b w:val="1"/>
          <w:bCs w:val="1"/>
          <w:color w:val="E99D25"/>
        </w:rPr>
      </w:pPr>
      <w:r>
        <w:rPr>
          <w:rFonts w:ascii="Arial" w:cs="Arial" w:eastAsia="Arial" w:hAnsi="Arial"/>
          <w:sz w:val="16"/>
          <w:szCs w:val="16"/>
          <w:b w:val="1"/>
          <w:bCs w:val="1"/>
          <w:color w:val="E99D25"/>
        </w:rPr>
        <w:t>OTHER CURRENT ASSETS</w:t>
      </w:r>
    </w:p>
    <w:p>
      <w:pPr>
        <w:spacing w:after="0" w:line="263" w:lineRule="exact"/>
        <w:rPr>
          <w:sz w:val="20"/>
          <w:szCs w:val="20"/>
          <w:color w:val="auto"/>
        </w:rPr>
      </w:pPr>
    </w:p>
    <w:p>
      <w:pPr>
        <w:ind w:firstLine="318"/>
        <w:spacing w:after="0" w:line="293" w:lineRule="auto"/>
        <w:rPr>
          <w:sz w:val="20"/>
          <w:szCs w:val="20"/>
          <w:color w:val="auto"/>
        </w:rPr>
      </w:pPr>
      <w:r>
        <w:rPr>
          <w:rFonts w:ascii="Arial" w:cs="Arial" w:eastAsia="Arial" w:hAnsi="Arial"/>
          <w:sz w:val="15"/>
          <w:szCs w:val="15"/>
          <w:color w:val="3C3C3B"/>
        </w:rPr>
        <w:t>Other current assets amount to €4,204 at June 30, 2025 and €3,409 at December 31, 2024, respectively, and consisted of prepaid expenses related to current operating expenses.</w:t>
      </w:r>
    </w:p>
    <w:p>
      <w:pPr>
        <w:spacing w:after="0" w:line="205" w:lineRule="exact"/>
        <w:rPr>
          <w:sz w:val="20"/>
          <w:szCs w:val="20"/>
          <w:color w:val="auto"/>
        </w:rPr>
      </w:pPr>
    </w:p>
    <w:p>
      <w:pPr>
        <w:ind w:left="500" w:hanging="494"/>
        <w:spacing w:after="0"/>
        <w:tabs>
          <w:tab w:leader="none" w:pos="500" w:val="left"/>
        </w:tabs>
        <w:numPr>
          <w:ilvl w:val="0"/>
          <w:numId w:val="50"/>
        </w:numPr>
        <w:rPr>
          <w:rFonts w:ascii="Arial" w:cs="Arial" w:eastAsia="Arial" w:hAnsi="Arial"/>
          <w:sz w:val="16"/>
          <w:szCs w:val="16"/>
          <w:b w:val="1"/>
          <w:bCs w:val="1"/>
          <w:color w:val="E99D25"/>
        </w:rPr>
      </w:pPr>
      <w:r>
        <w:rPr>
          <w:rFonts w:ascii="Arial" w:cs="Arial" w:eastAsia="Arial" w:hAnsi="Arial"/>
          <w:sz w:val="16"/>
          <w:szCs w:val="16"/>
          <w:b w:val="1"/>
          <w:bCs w:val="1"/>
          <w:color w:val="E99D25"/>
        </w:rPr>
        <w:t>INTANGIBLE ASSETS</w:t>
      </w:r>
    </w:p>
    <w:p>
      <w:pPr>
        <w:spacing w:after="0" w:line="200" w:lineRule="exact"/>
        <w:rPr>
          <w:sz w:val="20"/>
          <w:szCs w:val="20"/>
          <w:color w:val="auto"/>
        </w:rPr>
      </w:pPr>
    </w:p>
    <w:p>
      <w:pPr>
        <w:spacing w:after="0" w:line="315"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3C3C3B"/>
        </w:rPr>
        <w:t>Financial statement line item detail</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520" w:type="dxa"/>
            <w:vAlign w:val="bottom"/>
          </w:tcPr>
          <w:p>
            <w:pPr>
              <w:jc w:val="right"/>
              <w:ind w:right="738"/>
              <w:spacing w:after="0"/>
              <w:rPr>
                <w:sz w:val="20"/>
                <w:szCs w:val="20"/>
                <w:color w:val="auto"/>
              </w:rPr>
            </w:pPr>
            <w:r>
              <w:rPr>
                <w:rFonts w:ascii="Arial" w:cs="Arial" w:eastAsia="Arial" w:hAnsi="Arial"/>
                <w:sz w:val="12"/>
                <w:szCs w:val="12"/>
                <w:b w:val="1"/>
                <w:bCs w:val="1"/>
                <w:color w:val="3C3C3B"/>
              </w:rPr>
              <w:t>As of</w:t>
            </w:r>
          </w:p>
        </w:tc>
        <w:tc>
          <w:tcPr>
            <w:tcW w:w="1240" w:type="dxa"/>
            <w:vAlign w:val="bottom"/>
          </w:tcPr>
          <w:p>
            <w:pPr>
              <w:jc w:val="right"/>
              <w:ind w:right="298"/>
              <w:spacing w:after="0"/>
              <w:rPr>
                <w:sz w:val="20"/>
                <w:szCs w:val="20"/>
                <w:color w:val="auto"/>
              </w:rPr>
            </w:pPr>
            <w:r>
              <w:rPr>
                <w:rFonts w:ascii="Arial" w:cs="Arial" w:eastAsia="Arial" w:hAnsi="Arial"/>
                <w:sz w:val="12"/>
                <w:szCs w:val="12"/>
                <w:b w:val="1"/>
                <w:bCs w:val="1"/>
                <w:color w:val="3C3C3B"/>
              </w:rPr>
              <w:t>Increase</w:t>
            </w:r>
          </w:p>
        </w:tc>
        <w:tc>
          <w:tcPr>
            <w:tcW w:w="1180" w:type="dxa"/>
            <w:vAlign w:val="bottom"/>
          </w:tcPr>
          <w:p>
            <w:pPr>
              <w:jc w:val="right"/>
              <w:ind w:right="198"/>
              <w:spacing w:after="0"/>
              <w:rPr>
                <w:sz w:val="20"/>
                <w:szCs w:val="20"/>
                <w:color w:val="auto"/>
              </w:rPr>
            </w:pPr>
            <w:r>
              <w:rPr>
                <w:rFonts w:ascii="Arial" w:cs="Arial" w:eastAsia="Arial" w:hAnsi="Arial"/>
                <w:sz w:val="12"/>
                <w:szCs w:val="12"/>
                <w:b w:val="1"/>
                <w:bCs w:val="1"/>
                <w:color w:val="3C3C3B"/>
              </w:rPr>
              <w:t>Decrease</w:t>
            </w:r>
          </w:p>
        </w:tc>
        <w:tc>
          <w:tcPr>
            <w:tcW w:w="1300" w:type="dxa"/>
            <w:vAlign w:val="bottom"/>
          </w:tcPr>
          <w:p>
            <w:pPr>
              <w:jc w:val="right"/>
              <w:ind w:right="218"/>
              <w:spacing w:after="0"/>
              <w:rPr>
                <w:sz w:val="20"/>
                <w:szCs w:val="20"/>
                <w:color w:val="auto"/>
              </w:rPr>
            </w:pPr>
            <w:r>
              <w:rPr>
                <w:rFonts w:ascii="Arial" w:cs="Arial" w:eastAsia="Arial" w:hAnsi="Arial"/>
                <w:sz w:val="12"/>
                <w:szCs w:val="12"/>
                <w:b w:val="1"/>
                <w:bCs w:val="1"/>
                <w:color w:val="3C3C3B"/>
              </w:rPr>
              <w:t>Translation</w:t>
            </w:r>
          </w:p>
        </w:tc>
        <w:tc>
          <w:tcPr>
            <w:tcW w:w="1500" w:type="dxa"/>
            <w:vAlign w:val="bottom"/>
          </w:tcPr>
          <w:p>
            <w:pPr>
              <w:ind w:left="280"/>
              <w:spacing w:after="0"/>
              <w:rPr>
                <w:sz w:val="20"/>
                <w:szCs w:val="20"/>
                <w:color w:val="auto"/>
              </w:rPr>
            </w:pPr>
            <w:r>
              <w:rPr>
                <w:rFonts w:ascii="Arial" w:cs="Arial" w:eastAsia="Arial" w:hAnsi="Arial"/>
                <w:sz w:val="12"/>
                <w:szCs w:val="12"/>
                <w:b w:val="1"/>
                <w:bCs w:val="1"/>
                <w:color w:val="3C3C3B"/>
              </w:rPr>
              <w:t>Reclassification</w:t>
            </w:r>
          </w:p>
        </w:tc>
        <w:tc>
          <w:tcPr>
            <w:tcW w:w="1020" w:type="dxa"/>
            <w:vAlign w:val="bottom"/>
          </w:tcPr>
          <w:p>
            <w:pPr>
              <w:jc w:val="right"/>
              <w:ind w:right="358"/>
              <w:spacing w:after="0"/>
              <w:rPr>
                <w:sz w:val="20"/>
                <w:szCs w:val="20"/>
                <w:color w:val="auto"/>
              </w:rPr>
            </w:pPr>
            <w:r>
              <w:rPr>
                <w:rFonts w:ascii="Arial" w:cs="Arial" w:eastAsia="Arial" w:hAnsi="Arial"/>
                <w:sz w:val="12"/>
                <w:szCs w:val="12"/>
                <w:b w:val="1"/>
                <w:bCs w:val="1"/>
                <w:color w:val="3C3C3B"/>
              </w:rPr>
              <w:t>As of</w:t>
            </w:r>
          </w:p>
        </w:tc>
      </w:tr>
      <w:tr>
        <w:trPr>
          <w:trHeight w:val="199"/>
        </w:trPr>
        <w:tc>
          <w:tcPr>
            <w:tcW w:w="346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1520" w:type="dxa"/>
            <w:vAlign w:val="bottom"/>
          </w:tcPr>
          <w:p>
            <w:pPr>
              <w:jc w:val="right"/>
              <w:ind w:right="318"/>
              <w:spacing w:after="0"/>
              <w:rPr>
                <w:sz w:val="20"/>
                <w:szCs w:val="20"/>
                <w:color w:val="auto"/>
              </w:rPr>
            </w:pPr>
            <w:r>
              <w:rPr>
                <w:rFonts w:ascii="Arial" w:cs="Arial" w:eastAsia="Arial" w:hAnsi="Arial"/>
                <w:sz w:val="12"/>
                <w:szCs w:val="12"/>
                <w:b w:val="1"/>
                <w:bCs w:val="1"/>
                <w:color w:val="3C3C3B"/>
              </w:rPr>
              <w:t>2023/12/31</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jc w:val="right"/>
              <w:ind w:right="218"/>
              <w:spacing w:after="0"/>
              <w:rPr>
                <w:sz w:val="20"/>
                <w:szCs w:val="20"/>
                <w:color w:val="auto"/>
              </w:rPr>
            </w:pPr>
            <w:r>
              <w:rPr>
                <w:rFonts w:ascii="Arial" w:cs="Arial" w:eastAsia="Arial" w:hAnsi="Arial"/>
                <w:sz w:val="12"/>
                <w:szCs w:val="12"/>
                <w:b w:val="1"/>
                <w:bCs w:val="1"/>
                <w:color w:val="3C3C3B"/>
              </w:rPr>
              <w:t>adjustments</w:t>
            </w:r>
          </w:p>
        </w:tc>
        <w:tc>
          <w:tcPr>
            <w:tcW w:w="1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3C3C3B"/>
              </w:rPr>
              <w:t>2024/12/31</w:t>
            </w:r>
          </w:p>
        </w:tc>
      </w:tr>
      <w:tr>
        <w:trPr>
          <w:trHeight w:val="20"/>
        </w:trPr>
        <w:tc>
          <w:tcPr>
            <w:tcW w:w="3460" w:type="dxa"/>
            <w:vAlign w:val="bottom"/>
            <w:tcBorders>
              <w:bottom w:val="single" w:sz="8" w:color="494949"/>
            </w:tcBorders>
          </w:tcPr>
          <w:p>
            <w:pPr>
              <w:spacing w:after="0" w:line="20" w:lineRule="exact"/>
              <w:rPr>
                <w:sz w:val="1"/>
                <w:szCs w:val="1"/>
                <w:color w:val="auto"/>
              </w:rPr>
            </w:pPr>
          </w:p>
        </w:tc>
        <w:tc>
          <w:tcPr>
            <w:tcW w:w="1520" w:type="dxa"/>
            <w:vAlign w:val="bottom"/>
            <w:tcBorders>
              <w:bottom w:val="single" w:sz="8" w:color="494949"/>
            </w:tcBorders>
          </w:tcPr>
          <w:p>
            <w:pPr>
              <w:spacing w:after="0" w:line="20" w:lineRule="exact"/>
              <w:rPr>
                <w:sz w:val="1"/>
                <w:szCs w:val="1"/>
                <w:color w:val="auto"/>
              </w:rPr>
            </w:pPr>
          </w:p>
        </w:tc>
        <w:tc>
          <w:tcPr>
            <w:tcW w:w="1240" w:type="dxa"/>
            <w:vAlign w:val="bottom"/>
            <w:tcBorders>
              <w:bottom w:val="single" w:sz="8" w:color="494949"/>
            </w:tcBorders>
          </w:tcPr>
          <w:p>
            <w:pPr>
              <w:spacing w:after="0" w:line="20" w:lineRule="exact"/>
              <w:rPr>
                <w:sz w:val="1"/>
                <w:szCs w:val="1"/>
                <w:color w:val="auto"/>
              </w:rPr>
            </w:pPr>
          </w:p>
        </w:tc>
        <w:tc>
          <w:tcPr>
            <w:tcW w:w="1180" w:type="dxa"/>
            <w:vAlign w:val="bottom"/>
            <w:tcBorders>
              <w:bottom w:val="single" w:sz="8" w:color="494949"/>
            </w:tcBorders>
          </w:tcPr>
          <w:p>
            <w:pPr>
              <w:spacing w:after="0" w:line="20" w:lineRule="exact"/>
              <w:rPr>
                <w:sz w:val="1"/>
                <w:szCs w:val="1"/>
                <w:color w:val="auto"/>
              </w:rPr>
            </w:pPr>
          </w:p>
        </w:tc>
        <w:tc>
          <w:tcPr>
            <w:tcW w:w="1300" w:type="dxa"/>
            <w:vAlign w:val="bottom"/>
            <w:tcBorders>
              <w:bottom w:val="single" w:sz="8" w:color="494949"/>
            </w:tcBorders>
          </w:tcPr>
          <w:p>
            <w:pPr>
              <w:spacing w:after="0" w:line="20" w:lineRule="exact"/>
              <w:rPr>
                <w:sz w:val="1"/>
                <w:szCs w:val="1"/>
                <w:color w:val="auto"/>
              </w:rPr>
            </w:pPr>
          </w:p>
        </w:tc>
        <w:tc>
          <w:tcPr>
            <w:tcW w:w="1500" w:type="dxa"/>
            <w:vAlign w:val="bottom"/>
            <w:tcBorders>
              <w:bottom w:val="single" w:sz="8" w:color="494949"/>
            </w:tcBorders>
          </w:tcPr>
          <w:p>
            <w:pPr>
              <w:spacing w:after="0" w:line="20" w:lineRule="exact"/>
              <w:rPr>
                <w:sz w:val="1"/>
                <w:szCs w:val="1"/>
                <w:color w:val="auto"/>
              </w:rPr>
            </w:pPr>
          </w:p>
        </w:tc>
        <w:tc>
          <w:tcPr>
            <w:tcW w:w="1020" w:type="dxa"/>
            <w:vAlign w:val="bottom"/>
            <w:tcBorders>
              <w:bottom w:val="single" w:sz="8" w:color="494949"/>
            </w:tcBorders>
          </w:tcPr>
          <w:p>
            <w:pPr>
              <w:spacing w:after="0" w:line="20" w:lineRule="exact"/>
              <w:rPr>
                <w:sz w:val="1"/>
                <w:szCs w:val="1"/>
                <w:color w:val="auto"/>
              </w:rPr>
            </w:pPr>
          </w:p>
        </w:tc>
      </w:tr>
      <w:tr>
        <w:trPr>
          <w:trHeight w:val="172"/>
        </w:trPr>
        <w:tc>
          <w:tcPr>
            <w:tcW w:w="3460" w:type="dxa"/>
            <w:vAlign w:val="bottom"/>
          </w:tcPr>
          <w:p>
            <w:pPr>
              <w:ind w:left="20"/>
              <w:spacing w:after="0"/>
              <w:rPr>
                <w:sz w:val="20"/>
                <w:szCs w:val="20"/>
                <w:color w:val="auto"/>
              </w:rPr>
            </w:pPr>
            <w:r>
              <w:rPr>
                <w:rFonts w:ascii="Arial" w:cs="Arial" w:eastAsia="Arial" w:hAnsi="Arial"/>
                <w:sz w:val="12"/>
                <w:szCs w:val="12"/>
                <w:b w:val="1"/>
                <w:bCs w:val="1"/>
                <w:color w:val="3C3C3B"/>
              </w:rPr>
              <w:t>Gross</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3460" w:type="dxa"/>
            <w:vAlign w:val="bottom"/>
            <w:tcBorders>
              <w:bottom w:val="single" w:sz="8" w:color="E99D25"/>
            </w:tcBorders>
          </w:tcPr>
          <w:p>
            <w:pPr>
              <w:spacing w:after="0" w:line="20" w:lineRule="exact"/>
              <w:rPr>
                <w:sz w:val="1"/>
                <w:szCs w:val="1"/>
                <w:color w:val="auto"/>
              </w:rPr>
            </w:pPr>
          </w:p>
        </w:tc>
        <w:tc>
          <w:tcPr>
            <w:tcW w:w="1520" w:type="dxa"/>
            <w:vAlign w:val="bottom"/>
            <w:tcBorders>
              <w:bottom w:val="single" w:sz="8" w:color="E99D25"/>
            </w:tcBorders>
          </w:tcPr>
          <w:p>
            <w:pPr>
              <w:spacing w:after="0" w:line="20" w:lineRule="exact"/>
              <w:rPr>
                <w:sz w:val="1"/>
                <w:szCs w:val="1"/>
                <w:color w:val="auto"/>
              </w:rPr>
            </w:pPr>
          </w:p>
        </w:tc>
        <w:tc>
          <w:tcPr>
            <w:tcW w:w="1240" w:type="dxa"/>
            <w:vAlign w:val="bottom"/>
            <w:tcBorders>
              <w:bottom w:val="single" w:sz="8" w:color="E99D25"/>
            </w:tcBorders>
          </w:tcPr>
          <w:p>
            <w:pPr>
              <w:spacing w:after="0" w:line="20" w:lineRule="exact"/>
              <w:rPr>
                <w:sz w:val="1"/>
                <w:szCs w:val="1"/>
                <w:color w:val="auto"/>
              </w:rPr>
            </w:pPr>
          </w:p>
        </w:tc>
        <w:tc>
          <w:tcPr>
            <w:tcW w:w="1180" w:type="dxa"/>
            <w:vAlign w:val="bottom"/>
            <w:tcBorders>
              <w:bottom w:val="single" w:sz="8" w:color="E99D25"/>
            </w:tcBorders>
          </w:tcPr>
          <w:p>
            <w:pPr>
              <w:spacing w:after="0" w:line="20" w:lineRule="exact"/>
              <w:rPr>
                <w:sz w:val="1"/>
                <w:szCs w:val="1"/>
                <w:color w:val="auto"/>
              </w:rPr>
            </w:pPr>
          </w:p>
        </w:tc>
        <w:tc>
          <w:tcPr>
            <w:tcW w:w="1300" w:type="dxa"/>
            <w:vAlign w:val="bottom"/>
            <w:tcBorders>
              <w:bottom w:val="single" w:sz="8" w:color="E99D25"/>
            </w:tcBorders>
          </w:tcPr>
          <w:p>
            <w:pPr>
              <w:spacing w:after="0" w:line="20" w:lineRule="exact"/>
              <w:rPr>
                <w:sz w:val="1"/>
                <w:szCs w:val="1"/>
                <w:color w:val="auto"/>
              </w:rPr>
            </w:pPr>
          </w:p>
        </w:tc>
        <w:tc>
          <w:tcPr>
            <w:tcW w:w="1500" w:type="dxa"/>
            <w:vAlign w:val="bottom"/>
            <w:tcBorders>
              <w:bottom w:val="single" w:sz="8" w:color="E99D25"/>
            </w:tcBorders>
          </w:tcPr>
          <w:p>
            <w:pPr>
              <w:spacing w:after="0" w:line="20" w:lineRule="exact"/>
              <w:rPr>
                <w:sz w:val="1"/>
                <w:szCs w:val="1"/>
                <w:color w:val="auto"/>
              </w:rPr>
            </w:pPr>
          </w:p>
        </w:tc>
        <w:tc>
          <w:tcPr>
            <w:tcW w:w="1020" w:type="dxa"/>
            <w:vAlign w:val="bottom"/>
            <w:tcBorders>
              <w:bottom w:val="single" w:sz="8" w:color="E99D25"/>
            </w:tcBorders>
          </w:tcPr>
          <w:p>
            <w:pPr>
              <w:spacing w:after="0" w:line="20" w:lineRule="exact"/>
              <w:rPr>
                <w:sz w:val="1"/>
                <w:szCs w:val="1"/>
                <w:color w:val="auto"/>
              </w:rPr>
            </w:pPr>
          </w:p>
        </w:tc>
      </w:tr>
      <w:tr>
        <w:trPr>
          <w:trHeight w:val="172"/>
        </w:trPr>
        <w:tc>
          <w:tcPr>
            <w:tcW w:w="34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Software</w:t>
            </w:r>
          </w:p>
        </w:tc>
        <w:tc>
          <w:tcPr>
            <w:tcW w:w="1520" w:type="dxa"/>
            <w:vAlign w:val="bottom"/>
            <w:tcBorders>
              <w:bottom w:val="single" w:sz="8" w:color="FDF5E7"/>
            </w:tcBorders>
            <w:shd w:val="clear" w:color="auto" w:fill="FDF5E7"/>
          </w:tcPr>
          <w:p>
            <w:pPr>
              <w:jc w:val="right"/>
              <w:ind w:right="358"/>
              <w:spacing w:after="0"/>
              <w:rPr>
                <w:sz w:val="20"/>
                <w:szCs w:val="20"/>
                <w:color w:val="auto"/>
              </w:rPr>
            </w:pPr>
            <w:r>
              <w:rPr>
                <w:rFonts w:ascii="Arial" w:cs="Arial" w:eastAsia="Arial" w:hAnsi="Arial"/>
                <w:sz w:val="12"/>
                <w:szCs w:val="12"/>
                <w:color w:val="auto"/>
              </w:rPr>
              <w:t>955</w:t>
            </w:r>
          </w:p>
        </w:tc>
        <w:tc>
          <w:tcPr>
            <w:tcW w:w="1240" w:type="dxa"/>
            <w:vAlign w:val="bottom"/>
            <w:tcBorders>
              <w:bottom w:val="single" w:sz="8" w:color="FDF5E7"/>
            </w:tcBorders>
            <w:shd w:val="clear" w:color="auto" w:fill="FDF5E7"/>
          </w:tcPr>
          <w:p>
            <w:pPr>
              <w:jc w:val="right"/>
              <w:ind w:right="338"/>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FDF5E7"/>
            </w:tcBorders>
            <w:shd w:val="clear" w:color="auto" w:fill="FDF5E7"/>
          </w:tcPr>
          <w:p>
            <w:pPr>
              <w:jc w:val="right"/>
              <w:ind w:right="218"/>
              <w:spacing w:after="0"/>
              <w:rPr>
                <w:sz w:val="20"/>
                <w:szCs w:val="20"/>
                <w:color w:val="auto"/>
              </w:rPr>
            </w:pPr>
            <w:r>
              <w:rPr>
                <w:rFonts w:ascii="Arial" w:cs="Arial" w:eastAsia="Arial" w:hAnsi="Arial"/>
                <w:sz w:val="12"/>
                <w:szCs w:val="12"/>
                <w:color w:val="auto"/>
              </w:rPr>
              <w:t>(180)</w:t>
            </w:r>
          </w:p>
        </w:tc>
        <w:tc>
          <w:tcPr>
            <w:tcW w:w="130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FDF5E7"/>
            </w:tcBorders>
            <w:shd w:val="clear" w:color="auto" w:fill="FDF5E7"/>
          </w:tcPr>
          <w:p>
            <w:pPr>
              <w:ind w:left="106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776</w:t>
            </w:r>
          </w:p>
        </w:tc>
      </w:tr>
      <w:tr>
        <w:trPr>
          <w:trHeight w:val="173"/>
        </w:trPr>
        <w:tc>
          <w:tcPr>
            <w:tcW w:w="3460" w:type="dxa"/>
            <w:vAlign w:val="bottom"/>
          </w:tcPr>
          <w:p>
            <w:pPr>
              <w:ind w:left="20"/>
              <w:spacing w:after="0"/>
              <w:rPr>
                <w:sz w:val="20"/>
                <w:szCs w:val="20"/>
                <w:color w:val="auto"/>
              </w:rPr>
            </w:pPr>
            <w:r>
              <w:rPr>
                <w:rFonts w:ascii="Arial" w:cs="Arial" w:eastAsia="Arial" w:hAnsi="Arial"/>
                <w:sz w:val="12"/>
                <w:szCs w:val="12"/>
                <w:color w:val="3C3C3B"/>
              </w:rPr>
              <w:t>Patents</w:t>
            </w:r>
          </w:p>
        </w:tc>
        <w:tc>
          <w:tcPr>
            <w:tcW w:w="1520" w:type="dxa"/>
            <w:vAlign w:val="bottom"/>
          </w:tcPr>
          <w:p>
            <w:pPr>
              <w:jc w:val="right"/>
              <w:ind w:right="358"/>
              <w:spacing w:after="0"/>
              <w:rPr>
                <w:sz w:val="20"/>
                <w:szCs w:val="20"/>
                <w:color w:val="auto"/>
              </w:rPr>
            </w:pPr>
            <w:r>
              <w:rPr>
                <w:rFonts w:ascii="Arial" w:cs="Arial" w:eastAsia="Arial" w:hAnsi="Arial"/>
                <w:sz w:val="12"/>
                <w:szCs w:val="12"/>
                <w:color w:val="auto"/>
              </w:rPr>
              <w:t>369</w:t>
            </w:r>
          </w:p>
        </w:tc>
        <w:tc>
          <w:tcPr>
            <w:tcW w:w="124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500" w:type="dxa"/>
            <w:vAlign w:val="bottom"/>
          </w:tcPr>
          <w:p>
            <w:pPr>
              <w:ind w:left="1060"/>
              <w:spacing w:after="0"/>
              <w:rPr>
                <w:sz w:val="20"/>
                <w:szCs w:val="20"/>
                <w:color w:val="auto"/>
              </w:rPr>
            </w:pPr>
            <w:r>
              <w:rPr>
                <w:rFonts w:ascii="Arial" w:cs="Arial" w:eastAsia="Arial" w:hAnsi="Arial"/>
                <w:sz w:val="12"/>
                <w:szCs w:val="12"/>
                <w:color w:val="auto"/>
              </w:rPr>
              <w:t>(5)</w:t>
            </w:r>
          </w:p>
        </w:tc>
        <w:tc>
          <w:tcPr>
            <w:tcW w:w="1020" w:type="dxa"/>
            <w:vAlign w:val="bottom"/>
          </w:tcPr>
          <w:p>
            <w:pPr>
              <w:jc w:val="right"/>
              <w:spacing w:after="0"/>
              <w:rPr>
                <w:sz w:val="20"/>
                <w:szCs w:val="20"/>
                <w:color w:val="auto"/>
              </w:rPr>
            </w:pPr>
            <w:r>
              <w:rPr>
                <w:rFonts w:ascii="Arial" w:cs="Arial" w:eastAsia="Arial" w:hAnsi="Arial"/>
                <w:sz w:val="12"/>
                <w:szCs w:val="12"/>
                <w:color w:val="auto"/>
              </w:rPr>
              <w:t>364</w:t>
            </w:r>
          </w:p>
        </w:tc>
      </w:tr>
      <w:tr>
        <w:trPr>
          <w:trHeight w:val="26"/>
        </w:trPr>
        <w:tc>
          <w:tcPr>
            <w:tcW w:w="3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9"/>
        </w:trPr>
        <w:tc>
          <w:tcPr>
            <w:tcW w:w="34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Other intangibles</w:t>
            </w:r>
          </w:p>
        </w:tc>
        <w:tc>
          <w:tcPr>
            <w:tcW w:w="1520" w:type="dxa"/>
            <w:vAlign w:val="bottom"/>
            <w:tcBorders>
              <w:bottom w:val="single" w:sz="8" w:color="FDF5E7"/>
            </w:tcBorders>
            <w:shd w:val="clear" w:color="auto" w:fill="FDF5E7"/>
          </w:tcPr>
          <w:p>
            <w:pPr>
              <w:jc w:val="right"/>
              <w:ind w:right="358"/>
              <w:spacing w:after="0"/>
              <w:rPr>
                <w:sz w:val="20"/>
                <w:szCs w:val="20"/>
                <w:color w:val="auto"/>
              </w:rPr>
            </w:pPr>
            <w:r>
              <w:rPr>
                <w:rFonts w:ascii="Arial" w:cs="Arial" w:eastAsia="Arial" w:hAnsi="Arial"/>
                <w:sz w:val="12"/>
                <w:szCs w:val="12"/>
                <w:color w:val="auto"/>
              </w:rPr>
              <w:t>48,366</w:t>
            </w:r>
          </w:p>
        </w:tc>
        <w:tc>
          <w:tcPr>
            <w:tcW w:w="1240" w:type="dxa"/>
            <w:vAlign w:val="bottom"/>
            <w:tcBorders>
              <w:bottom w:val="single" w:sz="8" w:color="FDF5E7"/>
            </w:tcBorders>
            <w:shd w:val="clear" w:color="auto" w:fill="FDF5E7"/>
          </w:tcPr>
          <w:p>
            <w:pPr>
              <w:jc w:val="right"/>
              <w:ind w:right="338"/>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FDF5E7"/>
            </w:tcBorders>
            <w:shd w:val="clear" w:color="auto" w:fill="FDF5E7"/>
          </w:tcPr>
          <w:p>
            <w:pPr>
              <w:jc w:val="right"/>
              <w:ind w:right="238"/>
              <w:spacing w:after="0"/>
              <w:rPr>
                <w:sz w:val="20"/>
                <w:szCs w:val="20"/>
                <w:color w:val="auto"/>
              </w:rPr>
            </w:pPr>
            <w:r>
              <w:rPr>
                <w:rFonts w:ascii="Arial" w:cs="Arial" w:eastAsia="Arial" w:hAnsi="Arial"/>
                <w:sz w:val="12"/>
                <w:szCs w:val="12"/>
                <w:color w:val="auto"/>
              </w:rPr>
              <w:t>(748)</w:t>
            </w:r>
          </w:p>
        </w:tc>
        <w:tc>
          <w:tcPr>
            <w:tcW w:w="1500" w:type="dxa"/>
            <w:vAlign w:val="bottom"/>
            <w:tcBorders>
              <w:bottom w:val="single" w:sz="8" w:color="FDF5E7"/>
            </w:tcBorders>
            <w:shd w:val="clear" w:color="auto" w:fill="FDF5E7"/>
          </w:tcPr>
          <w:p>
            <w:pPr>
              <w:ind w:left="106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47,618</w:t>
            </w:r>
          </w:p>
        </w:tc>
      </w:tr>
      <w:tr>
        <w:trPr>
          <w:trHeight w:val="179"/>
        </w:trPr>
        <w:tc>
          <w:tcPr>
            <w:tcW w:w="3460" w:type="dxa"/>
            <w:vAlign w:val="bottom"/>
          </w:tcPr>
          <w:p>
            <w:pPr>
              <w:ind w:left="20"/>
              <w:spacing w:after="0"/>
              <w:rPr>
                <w:sz w:val="20"/>
                <w:szCs w:val="20"/>
                <w:color w:val="auto"/>
              </w:rPr>
            </w:pPr>
            <w:r>
              <w:rPr>
                <w:rFonts w:ascii="Arial" w:cs="Arial" w:eastAsia="Arial" w:hAnsi="Arial"/>
                <w:sz w:val="12"/>
                <w:szCs w:val="12"/>
                <w:b w:val="1"/>
                <w:bCs w:val="1"/>
                <w:i w:val="1"/>
                <w:iCs w:val="1"/>
                <w:color w:val="3C3C3B"/>
              </w:rPr>
              <w:t>TOTAL—Gross</w:t>
            </w:r>
          </w:p>
        </w:tc>
        <w:tc>
          <w:tcPr>
            <w:tcW w:w="1520" w:type="dxa"/>
            <w:vAlign w:val="bottom"/>
          </w:tcPr>
          <w:p>
            <w:pPr>
              <w:jc w:val="right"/>
              <w:ind w:right="358"/>
              <w:spacing w:after="0"/>
              <w:rPr>
                <w:sz w:val="20"/>
                <w:szCs w:val="20"/>
                <w:color w:val="auto"/>
              </w:rPr>
            </w:pPr>
            <w:r>
              <w:rPr>
                <w:rFonts w:ascii="Arial" w:cs="Arial" w:eastAsia="Arial" w:hAnsi="Arial"/>
                <w:sz w:val="12"/>
                <w:szCs w:val="12"/>
                <w:b w:val="1"/>
                <w:bCs w:val="1"/>
                <w:i w:val="1"/>
                <w:iCs w:val="1"/>
                <w:color w:val="auto"/>
              </w:rPr>
              <w:t>49,690</w:t>
            </w:r>
          </w:p>
        </w:tc>
        <w:tc>
          <w:tcPr>
            <w:tcW w:w="1240" w:type="dxa"/>
            <w:vAlign w:val="bottom"/>
          </w:tcPr>
          <w:p>
            <w:pPr>
              <w:jc w:val="right"/>
              <w:ind w:right="338"/>
              <w:spacing w:after="0"/>
              <w:rPr>
                <w:sz w:val="20"/>
                <w:szCs w:val="20"/>
                <w:color w:val="auto"/>
              </w:rPr>
            </w:pPr>
            <w:r>
              <w:rPr>
                <w:rFonts w:ascii="Arial" w:cs="Arial" w:eastAsia="Arial" w:hAnsi="Arial"/>
                <w:sz w:val="12"/>
                <w:szCs w:val="12"/>
                <w:b w:val="1"/>
                <w:bCs w:val="1"/>
                <w:i w:val="1"/>
                <w:iCs w:val="1"/>
                <w:color w:val="auto"/>
              </w:rPr>
              <w:t>—</w:t>
            </w:r>
          </w:p>
        </w:tc>
        <w:tc>
          <w:tcPr>
            <w:tcW w:w="1180" w:type="dxa"/>
            <w:vAlign w:val="bottom"/>
          </w:tcPr>
          <w:p>
            <w:pPr>
              <w:jc w:val="right"/>
              <w:ind w:right="218"/>
              <w:spacing w:after="0"/>
              <w:rPr>
                <w:sz w:val="20"/>
                <w:szCs w:val="20"/>
                <w:color w:val="auto"/>
              </w:rPr>
            </w:pPr>
            <w:r>
              <w:rPr>
                <w:rFonts w:ascii="Arial" w:cs="Arial" w:eastAsia="Arial" w:hAnsi="Arial"/>
                <w:sz w:val="12"/>
                <w:szCs w:val="12"/>
                <w:b w:val="1"/>
                <w:bCs w:val="1"/>
                <w:i w:val="1"/>
                <w:iCs w:val="1"/>
                <w:color w:val="auto"/>
              </w:rPr>
              <w:t>(180)</w:t>
            </w:r>
          </w:p>
        </w:tc>
        <w:tc>
          <w:tcPr>
            <w:tcW w:w="1300" w:type="dxa"/>
            <w:vAlign w:val="bottom"/>
          </w:tcPr>
          <w:p>
            <w:pPr>
              <w:jc w:val="right"/>
              <w:ind w:right="238"/>
              <w:spacing w:after="0"/>
              <w:rPr>
                <w:sz w:val="20"/>
                <w:szCs w:val="20"/>
                <w:color w:val="auto"/>
              </w:rPr>
            </w:pPr>
            <w:r>
              <w:rPr>
                <w:rFonts w:ascii="Arial" w:cs="Arial" w:eastAsia="Arial" w:hAnsi="Arial"/>
                <w:sz w:val="12"/>
                <w:szCs w:val="12"/>
                <w:b w:val="1"/>
                <w:bCs w:val="1"/>
                <w:i w:val="1"/>
                <w:iCs w:val="1"/>
                <w:color w:val="auto"/>
              </w:rPr>
              <w:t>(748)</w:t>
            </w:r>
          </w:p>
        </w:tc>
        <w:tc>
          <w:tcPr>
            <w:tcW w:w="1500" w:type="dxa"/>
            <w:vAlign w:val="bottom"/>
          </w:tcPr>
          <w:p>
            <w:pPr>
              <w:ind w:left="1060"/>
              <w:spacing w:after="0"/>
              <w:rPr>
                <w:sz w:val="20"/>
                <w:szCs w:val="20"/>
                <w:color w:val="auto"/>
              </w:rPr>
            </w:pPr>
            <w:r>
              <w:rPr>
                <w:rFonts w:ascii="Arial" w:cs="Arial" w:eastAsia="Arial" w:hAnsi="Arial"/>
                <w:sz w:val="12"/>
                <w:szCs w:val="12"/>
                <w:b w:val="1"/>
                <w:bCs w:val="1"/>
                <w:i w:val="1"/>
                <w:iCs w:val="1"/>
                <w:color w:val="auto"/>
              </w:rPr>
              <w:t>(5)</w:t>
            </w:r>
          </w:p>
        </w:tc>
        <w:tc>
          <w:tcPr>
            <w:tcW w:w="102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48,757</w:t>
            </w:r>
          </w:p>
        </w:tc>
      </w:tr>
      <w:tr>
        <w:trPr>
          <w:trHeight w:val="20"/>
        </w:trPr>
        <w:tc>
          <w:tcPr>
            <w:tcW w:w="3460" w:type="dxa"/>
            <w:vAlign w:val="bottom"/>
            <w:tcBorders>
              <w:bottom w:val="single" w:sz="8" w:color="494949"/>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2"/>
        </w:trPr>
        <w:tc>
          <w:tcPr>
            <w:tcW w:w="3460" w:type="dxa"/>
            <w:vAlign w:val="bottom"/>
          </w:tcPr>
          <w:p>
            <w:pPr>
              <w:ind w:left="20"/>
              <w:spacing w:after="0"/>
              <w:rPr>
                <w:sz w:val="20"/>
                <w:szCs w:val="20"/>
                <w:color w:val="auto"/>
              </w:rPr>
            </w:pPr>
            <w:r>
              <w:rPr>
                <w:rFonts w:ascii="Arial" w:cs="Arial" w:eastAsia="Arial" w:hAnsi="Arial"/>
                <w:sz w:val="12"/>
                <w:szCs w:val="12"/>
                <w:b w:val="1"/>
                <w:bCs w:val="1"/>
                <w:color w:val="3C3C3B"/>
              </w:rPr>
              <w:t>Accumulated depreciation and impairment</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3460" w:type="dxa"/>
            <w:vAlign w:val="bottom"/>
            <w:tcBorders>
              <w:bottom w:val="single" w:sz="8" w:color="E99D25"/>
            </w:tcBorders>
          </w:tcPr>
          <w:p>
            <w:pPr>
              <w:spacing w:after="0" w:line="20" w:lineRule="exact"/>
              <w:rPr>
                <w:sz w:val="1"/>
                <w:szCs w:val="1"/>
                <w:color w:val="auto"/>
              </w:rPr>
            </w:pPr>
          </w:p>
        </w:tc>
        <w:tc>
          <w:tcPr>
            <w:tcW w:w="1520" w:type="dxa"/>
            <w:vAlign w:val="bottom"/>
            <w:tcBorders>
              <w:bottom w:val="single" w:sz="8" w:color="E99D25"/>
            </w:tcBorders>
          </w:tcPr>
          <w:p>
            <w:pPr>
              <w:spacing w:after="0" w:line="20" w:lineRule="exact"/>
              <w:rPr>
                <w:sz w:val="1"/>
                <w:szCs w:val="1"/>
                <w:color w:val="auto"/>
              </w:rPr>
            </w:pPr>
          </w:p>
        </w:tc>
        <w:tc>
          <w:tcPr>
            <w:tcW w:w="1240" w:type="dxa"/>
            <w:vAlign w:val="bottom"/>
            <w:tcBorders>
              <w:bottom w:val="single" w:sz="8" w:color="E99D25"/>
            </w:tcBorders>
          </w:tcPr>
          <w:p>
            <w:pPr>
              <w:spacing w:after="0" w:line="20" w:lineRule="exact"/>
              <w:rPr>
                <w:sz w:val="1"/>
                <w:szCs w:val="1"/>
                <w:color w:val="auto"/>
              </w:rPr>
            </w:pPr>
          </w:p>
        </w:tc>
        <w:tc>
          <w:tcPr>
            <w:tcW w:w="1180" w:type="dxa"/>
            <w:vAlign w:val="bottom"/>
            <w:tcBorders>
              <w:bottom w:val="single" w:sz="8" w:color="E99D25"/>
            </w:tcBorders>
          </w:tcPr>
          <w:p>
            <w:pPr>
              <w:spacing w:after="0" w:line="20" w:lineRule="exact"/>
              <w:rPr>
                <w:sz w:val="1"/>
                <w:szCs w:val="1"/>
                <w:color w:val="auto"/>
              </w:rPr>
            </w:pPr>
          </w:p>
        </w:tc>
        <w:tc>
          <w:tcPr>
            <w:tcW w:w="1300" w:type="dxa"/>
            <w:vAlign w:val="bottom"/>
            <w:tcBorders>
              <w:bottom w:val="single" w:sz="8" w:color="E99D25"/>
            </w:tcBorders>
          </w:tcPr>
          <w:p>
            <w:pPr>
              <w:spacing w:after="0" w:line="20" w:lineRule="exact"/>
              <w:rPr>
                <w:sz w:val="1"/>
                <w:szCs w:val="1"/>
                <w:color w:val="auto"/>
              </w:rPr>
            </w:pPr>
          </w:p>
        </w:tc>
        <w:tc>
          <w:tcPr>
            <w:tcW w:w="1500" w:type="dxa"/>
            <w:vAlign w:val="bottom"/>
            <w:tcBorders>
              <w:bottom w:val="single" w:sz="8" w:color="E99D25"/>
            </w:tcBorders>
          </w:tcPr>
          <w:p>
            <w:pPr>
              <w:spacing w:after="0" w:line="20" w:lineRule="exact"/>
              <w:rPr>
                <w:sz w:val="1"/>
                <w:szCs w:val="1"/>
                <w:color w:val="auto"/>
              </w:rPr>
            </w:pPr>
          </w:p>
        </w:tc>
        <w:tc>
          <w:tcPr>
            <w:tcW w:w="1020" w:type="dxa"/>
            <w:vAlign w:val="bottom"/>
            <w:tcBorders>
              <w:bottom w:val="single" w:sz="8" w:color="E99D25"/>
            </w:tcBorders>
          </w:tcPr>
          <w:p>
            <w:pPr>
              <w:spacing w:after="0" w:line="20" w:lineRule="exact"/>
              <w:rPr>
                <w:sz w:val="1"/>
                <w:szCs w:val="1"/>
                <w:color w:val="auto"/>
              </w:rPr>
            </w:pPr>
          </w:p>
        </w:tc>
      </w:tr>
      <w:tr>
        <w:trPr>
          <w:trHeight w:val="172"/>
        </w:trPr>
        <w:tc>
          <w:tcPr>
            <w:tcW w:w="34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Software</w:t>
            </w:r>
          </w:p>
        </w:tc>
        <w:tc>
          <w:tcPr>
            <w:tcW w:w="1520" w:type="dxa"/>
            <w:vAlign w:val="bottom"/>
            <w:tcBorders>
              <w:bottom w:val="single" w:sz="8" w:color="FDF5E7"/>
            </w:tcBorders>
            <w:shd w:val="clear" w:color="auto" w:fill="FDF5E7"/>
          </w:tcPr>
          <w:p>
            <w:pPr>
              <w:jc w:val="right"/>
              <w:ind w:right="318"/>
              <w:spacing w:after="0"/>
              <w:rPr>
                <w:sz w:val="20"/>
                <w:szCs w:val="20"/>
                <w:color w:val="auto"/>
              </w:rPr>
            </w:pPr>
            <w:r>
              <w:rPr>
                <w:rFonts w:ascii="Arial" w:cs="Arial" w:eastAsia="Arial" w:hAnsi="Arial"/>
                <w:sz w:val="12"/>
                <w:szCs w:val="12"/>
                <w:color w:val="auto"/>
              </w:rPr>
              <w:t>(928)</w:t>
            </w:r>
          </w:p>
        </w:tc>
        <w:tc>
          <w:tcPr>
            <w:tcW w:w="1240" w:type="dxa"/>
            <w:vAlign w:val="bottom"/>
            <w:tcBorders>
              <w:bottom w:val="single" w:sz="8" w:color="FDF5E7"/>
            </w:tcBorders>
            <w:shd w:val="clear" w:color="auto" w:fill="FDF5E7"/>
          </w:tcPr>
          <w:p>
            <w:pPr>
              <w:jc w:val="right"/>
              <w:ind w:right="318"/>
              <w:spacing w:after="0"/>
              <w:rPr>
                <w:sz w:val="20"/>
                <w:szCs w:val="20"/>
                <w:color w:val="auto"/>
              </w:rPr>
            </w:pPr>
            <w:r>
              <w:rPr>
                <w:rFonts w:ascii="Arial" w:cs="Arial" w:eastAsia="Arial" w:hAnsi="Arial"/>
                <w:sz w:val="12"/>
                <w:szCs w:val="12"/>
                <w:color w:val="auto"/>
              </w:rPr>
              <w:t>(10)</w:t>
            </w:r>
          </w:p>
        </w:tc>
        <w:tc>
          <w:tcPr>
            <w:tcW w:w="118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180</w:t>
            </w:r>
          </w:p>
        </w:tc>
        <w:tc>
          <w:tcPr>
            <w:tcW w:w="130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FDF5E7"/>
            </w:tcBorders>
            <w:shd w:val="clear" w:color="auto" w:fill="FDF5E7"/>
          </w:tcPr>
          <w:p>
            <w:pPr>
              <w:ind w:left="106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(759)</w:t>
            </w:r>
          </w:p>
        </w:tc>
      </w:tr>
      <w:tr>
        <w:trPr>
          <w:trHeight w:val="173"/>
        </w:trPr>
        <w:tc>
          <w:tcPr>
            <w:tcW w:w="3460" w:type="dxa"/>
            <w:vAlign w:val="bottom"/>
          </w:tcPr>
          <w:p>
            <w:pPr>
              <w:ind w:left="20"/>
              <w:spacing w:after="0"/>
              <w:rPr>
                <w:sz w:val="20"/>
                <w:szCs w:val="20"/>
                <w:color w:val="auto"/>
              </w:rPr>
            </w:pPr>
            <w:r>
              <w:rPr>
                <w:rFonts w:ascii="Arial" w:cs="Arial" w:eastAsia="Arial" w:hAnsi="Arial"/>
                <w:sz w:val="12"/>
                <w:szCs w:val="12"/>
                <w:color w:val="3C3C3B"/>
              </w:rPr>
              <w:t>Patents</w:t>
            </w:r>
          </w:p>
        </w:tc>
        <w:tc>
          <w:tcPr>
            <w:tcW w:w="1520" w:type="dxa"/>
            <w:vAlign w:val="bottom"/>
          </w:tcPr>
          <w:p>
            <w:pPr>
              <w:jc w:val="right"/>
              <w:ind w:right="358"/>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500" w:type="dxa"/>
            <w:vAlign w:val="bottom"/>
          </w:tcPr>
          <w:p>
            <w:pPr>
              <w:ind w:left="10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6"/>
        </w:trPr>
        <w:tc>
          <w:tcPr>
            <w:tcW w:w="3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9"/>
        </w:trPr>
        <w:tc>
          <w:tcPr>
            <w:tcW w:w="34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Other intangibles</w:t>
            </w:r>
          </w:p>
        </w:tc>
        <w:tc>
          <w:tcPr>
            <w:tcW w:w="1520" w:type="dxa"/>
            <w:vAlign w:val="bottom"/>
            <w:tcBorders>
              <w:bottom w:val="single" w:sz="8" w:color="FDF5E7"/>
            </w:tcBorders>
            <w:shd w:val="clear" w:color="auto" w:fill="FDF5E7"/>
          </w:tcPr>
          <w:p>
            <w:pPr>
              <w:jc w:val="right"/>
              <w:ind w:right="358"/>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FDF5E7"/>
            </w:tcBorders>
            <w:shd w:val="clear" w:color="auto" w:fill="FDF5E7"/>
          </w:tcPr>
          <w:p>
            <w:pPr>
              <w:jc w:val="right"/>
              <w:ind w:right="338"/>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FDF5E7"/>
            </w:tcBorders>
            <w:shd w:val="clear" w:color="auto" w:fill="FDF5E7"/>
          </w:tcPr>
          <w:p>
            <w:pPr>
              <w:ind w:left="106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w:t>
            </w:r>
          </w:p>
        </w:tc>
      </w:tr>
      <w:tr>
        <w:trPr>
          <w:trHeight w:val="179"/>
        </w:trPr>
        <w:tc>
          <w:tcPr>
            <w:tcW w:w="3460" w:type="dxa"/>
            <w:vAlign w:val="bottom"/>
          </w:tcPr>
          <w:p>
            <w:pPr>
              <w:ind w:left="20"/>
              <w:spacing w:after="0"/>
              <w:rPr>
                <w:sz w:val="20"/>
                <w:szCs w:val="20"/>
                <w:color w:val="auto"/>
              </w:rPr>
            </w:pPr>
            <w:r>
              <w:rPr>
                <w:rFonts w:ascii="Arial" w:cs="Arial" w:eastAsia="Arial" w:hAnsi="Arial"/>
                <w:sz w:val="12"/>
                <w:szCs w:val="12"/>
                <w:b w:val="1"/>
                <w:bCs w:val="1"/>
                <w:i w:val="1"/>
                <w:iCs w:val="1"/>
                <w:color w:val="3C3C3B"/>
              </w:rPr>
              <w:t>TOTAL - Accumulated depreciation and impairment</w:t>
            </w:r>
          </w:p>
        </w:tc>
        <w:tc>
          <w:tcPr>
            <w:tcW w:w="1520" w:type="dxa"/>
            <w:vAlign w:val="bottom"/>
          </w:tcPr>
          <w:p>
            <w:pPr>
              <w:jc w:val="right"/>
              <w:ind w:right="318"/>
              <w:spacing w:after="0"/>
              <w:rPr>
                <w:sz w:val="20"/>
                <w:szCs w:val="20"/>
                <w:color w:val="auto"/>
              </w:rPr>
            </w:pPr>
            <w:r>
              <w:rPr>
                <w:rFonts w:ascii="Arial" w:cs="Arial" w:eastAsia="Arial" w:hAnsi="Arial"/>
                <w:sz w:val="12"/>
                <w:szCs w:val="12"/>
                <w:b w:val="1"/>
                <w:bCs w:val="1"/>
                <w:i w:val="1"/>
                <w:iCs w:val="1"/>
                <w:color w:val="auto"/>
              </w:rPr>
              <w:t>(928)</w:t>
            </w:r>
          </w:p>
        </w:tc>
        <w:tc>
          <w:tcPr>
            <w:tcW w:w="1240" w:type="dxa"/>
            <w:vAlign w:val="bottom"/>
          </w:tcPr>
          <w:p>
            <w:pPr>
              <w:jc w:val="right"/>
              <w:ind w:right="318"/>
              <w:spacing w:after="0"/>
              <w:rPr>
                <w:sz w:val="20"/>
                <w:szCs w:val="20"/>
                <w:color w:val="auto"/>
              </w:rPr>
            </w:pPr>
            <w:r>
              <w:rPr>
                <w:rFonts w:ascii="Arial" w:cs="Arial" w:eastAsia="Arial" w:hAnsi="Arial"/>
                <w:sz w:val="12"/>
                <w:szCs w:val="12"/>
                <w:b w:val="1"/>
                <w:bCs w:val="1"/>
                <w:i w:val="1"/>
                <w:iCs w:val="1"/>
                <w:color w:val="auto"/>
              </w:rPr>
              <w:t>(10)</w:t>
            </w:r>
          </w:p>
        </w:tc>
        <w:tc>
          <w:tcPr>
            <w:tcW w:w="1180" w:type="dxa"/>
            <w:vAlign w:val="bottom"/>
          </w:tcPr>
          <w:p>
            <w:pPr>
              <w:jc w:val="right"/>
              <w:ind w:right="258"/>
              <w:spacing w:after="0"/>
              <w:rPr>
                <w:sz w:val="20"/>
                <w:szCs w:val="20"/>
                <w:color w:val="auto"/>
              </w:rPr>
            </w:pPr>
            <w:r>
              <w:rPr>
                <w:rFonts w:ascii="Arial" w:cs="Arial" w:eastAsia="Arial" w:hAnsi="Arial"/>
                <w:sz w:val="12"/>
                <w:szCs w:val="12"/>
                <w:b w:val="1"/>
                <w:bCs w:val="1"/>
                <w:i w:val="1"/>
                <w:iCs w:val="1"/>
                <w:color w:val="auto"/>
              </w:rPr>
              <w:t>180</w:t>
            </w:r>
          </w:p>
        </w:tc>
        <w:tc>
          <w:tcPr>
            <w:tcW w:w="1300" w:type="dxa"/>
            <w:vAlign w:val="bottom"/>
          </w:tcPr>
          <w:p>
            <w:pPr>
              <w:jc w:val="right"/>
              <w:ind w:right="258"/>
              <w:spacing w:after="0"/>
              <w:rPr>
                <w:sz w:val="20"/>
                <w:szCs w:val="20"/>
                <w:color w:val="auto"/>
              </w:rPr>
            </w:pPr>
            <w:r>
              <w:rPr>
                <w:rFonts w:ascii="Arial" w:cs="Arial" w:eastAsia="Arial" w:hAnsi="Arial"/>
                <w:sz w:val="12"/>
                <w:szCs w:val="12"/>
                <w:b w:val="1"/>
                <w:bCs w:val="1"/>
                <w:i w:val="1"/>
                <w:iCs w:val="1"/>
                <w:color w:val="auto"/>
              </w:rPr>
              <w:t>—</w:t>
            </w:r>
          </w:p>
        </w:tc>
        <w:tc>
          <w:tcPr>
            <w:tcW w:w="1500" w:type="dxa"/>
            <w:vAlign w:val="bottom"/>
          </w:tcPr>
          <w:p>
            <w:pPr>
              <w:ind w:left="1060"/>
              <w:spacing w:after="0"/>
              <w:rPr>
                <w:sz w:val="20"/>
                <w:szCs w:val="20"/>
                <w:color w:val="auto"/>
              </w:rPr>
            </w:pPr>
            <w:r>
              <w:rPr>
                <w:rFonts w:ascii="Arial" w:cs="Arial" w:eastAsia="Arial" w:hAnsi="Arial"/>
                <w:sz w:val="12"/>
                <w:szCs w:val="12"/>
                <w:b w:val="1"/>
                <w:bCs w:val="1"/>
                <w:i w:val="1"/>
                <w:iCs w:val="1"/>
                <w:color w:val="auto"/>
              </w:rPr>
              <w:t>—</w:t>
            </w:r>
          </w:p>
        </w:tc>
        <w:tc>
          <w:tcPr>
            <w:tcW w:w="102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(759)</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2"/>
        </w:trPr>
        <w:tc>
          <w:tcPr>
            <w:tcW w:w="3460" w:type="dxa"/>
            <w:vAlign w:val="bottom"/>
          </w:tcPr>
          <w:p>
            <w:pPr>
              <w:ind w:left="20"/>
              <w:spacing w:after="0"/>
              <w:rPr>
                <w:sz w:val="20"/>
                <w:szCs w:val="20"/>
                <w:color w:val="auto"/>
              </w:rPr>
            </w:pPr>
            <w:r>
              <w:rPr>
                <w:rFonts w:ascii="Arial" w:cs="Arial" w:eastAsia="Arial" w:hAnsi="Arial"/>
                <w:sz w:val="12"/>
                <w:szCs w:val="12"/>
                <w:b w:val="1"/>
                <w:bCs w:val="1"/>
                <w:color w:val="E99D25"/>
              </w:rPr>
              <w:t>TOTAL - Net</w:t>
            </w:r>
          </w:p>
        </w:tc>
        <w:tc>
          <w:tcPr>
            <w:tcW w:w="1520" w:type="dxa"/>
            <w:vAlign w:val="bottom"/>
          </w:tcPr>
          <w:p>
            <w:pPr>
              <w:jc w:val="right"/>
              <w:ind w:right="358"/>
              <w:spacing w:after="0"/>
              <w:rPr>
                <w:sz w:val="20"/>
                <w:szCs w:val="20"/>
                <w:color w:val="auto"/>
              </w:rPr>
            </w:pPr>
            <w:r>
              <w:rPr>
                <w:rFonts w:ascii="Arial" w:cs="Arial" w:eastAsia="Arial" w:hAnsi="Arial"/>
                <w:sz w:val="12"/>
                <w:szCs w:val="12"/>
                <w:b w:val="1"/>
                <w:bCs w:val="1"/>
                <w:color w:val="E99D25"/>
              </w:rPr>
              <w:t>48,761</w:t>
            </w:r>
          </w:p>
        </w:tc>
        <w:tc>
          <w:tcPr>
            <w:tcW w:w="1240" w:type="dxa"/>
            <w:vAlign w:val="bottom"/>
          </w:tcPr>
          <w:p>
            <w:pPr>
              <w:jc w:val="right"/>
              <w:ind w:right="318"/>
              <w:spacing w:after="0"/>
              <w:rPr>
                <w:sz w:val="20"/>
                <w:szCs w:val="20"/>
                <w:color w:val="auto"/>
              </w:rPr>
            </w:pPr>
            <w:r>
              <w:rPr>
                <w:rFonts w:ascii="Arial" w:cs="Arial" w:eastAsia="Arial" w:hAnsi="Arial"/>
                <w:sz w:val="12"/>
                <w:szCs w:val="12"/>
                <w:b w:val="1"/>
                <w:bCs w:val="1"/>
                <w:color w:val="E99D25"/>
              </w:rPr>
              <w:t>(10)</w:t>
            </w:r>
          </w:p>
        </w:tc>
        <w:tc>
          <w:tcPr>
            <w:tcW w:w="1180" w:type="dxa"/>
            <w:vAlign w:val="bottom"/>
          </w:tcPr>
          <w:p>
            <w:pPr>
              <w:jc w:val="right"/>
              <w:ind w:right="258"/>
              <w:spacing w:after="0"/>
              <w:rPr>
                <w:sz w:val="20"/>
                <w:szCs w:val="20"/>
                <w:color w:val="auto"/>
              </w:rPr>
            </w:pPr>
            <w:r>
              <w:rPr>
                <w:rFonts w:ascii="Arial" w:cs="Arial" w:eastAsia="Arial" w:hAnsi="Arial"/>
                <w:sz w:val="12"/>
                <w:szCs w:val="12"/>
                <w:b w:val="1"/>
                <w:bCs w:val="1"/>
                <w:color w:val="E99D25"/>
              </w:rPr>
              <w:t>—</w:t>
            </w:r>
          </w:p>
        </w:tc>
        <w:tc>
          <w:tcPr>
            <w:tcW w:w="1300" w:type="dxa"/>
            <w:vAlign w:val="bottom"/>
          </w:tcPr>
          <w:p>
            <w:pPr>
              <w:jc w:val="right"/>
              <w:ind w:right="238"/>
              <w:spacing w:after="0"/>
              <w:rPr>
                <w:sz w:val="20"/>
                <w:szCs w:val="20"/>
                <w:color w:val="auto"/>
              </w:rPr>
            </w:pPr>
            <w:r>
              <w:rPr>
                <w:rFonts w:ascii="Arial" w:cs="Arial" w:eastAsia="Arial" w:hAnsi="Arial"/>
                <w:sz w:val="12"/>
                <w:szCs w:val="12"/>
                <w:b w:val="1"/>
                <w:bCs w:val="1"/>
                <w:color w:val="E99D25"/>
              </w:rPr>
              <w:t>(748)</w:t>
            </w:r>
          </w:p>
        </w:tc>
        <w:tc>
          <w:tcPr>
            <w:tcW w:w="1500" w:type="dxa"/>
            <w:vAlign w:val="bottom"/>
          </w:tcPr>
          <w:p>
            <w:pPr>
              <w:ind w:left="1060"/>
              <w:spacing w:after="0"/>
              <w:rPr>
                <w:sz w:val="20"/>
                <w:szCs w:val="20"/>
                <w:color w:val="auto"/>
              </w:rPr>
            </w:pPr>
            <w:r>
              <w:rPr>
                <w:rFonts w:ascii="Arial" w:cs="Arial" w:eastAsia="Arial" w:hAnsi="Arial"/>
                <w:sz w:val="12"/>
                <w:szCs w:val="12"/>
                <w:b w:val="1"/>
                <w:bCs w:val="1"/>
                <w:color w:val="E99D25"/>
              </w:rPr>
              <w:t>(5)</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E99D25"/>
              </w:rPr>
              <w:t>47,998</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8"/>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30</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520" w:type="dxa"/>
            <w:vAlign w:val="bottom"/>
          </w:tcPr>
          <w:p>
            <w:pPr>
              <w:jc w:val="right"/>
              <w:ind w:right="738"/>
              <w:spacing w:after="0"/>
              <w:rPr>
                <w:sz w:val="20"/>
                <w:szCs w:val="20"/>
                <w:color w:val="auto"/>
              </w:rPr>
            </w:pPr>
            <w:r>
              <w:rPr>
                <w:rFonts w:ascii="Arial" w:cs="Arial" w:eastAsia="Arial" w:hAnsi="Arial"/>
                <w:sz w:val="12"/>
                <w:szCs w:val="12"/>
                <w:b w:val="1"/>
                <w:bCs w:val="1"/>
                <w:color w:val="3C3C3B"/>
              </w:rPr>
              <w:t>As of</w:t>
            </w:r>
          </w:p>
        </w:tc>
        <w:tc>
          <w:tcPr>
            <w:tcW w:w="1240" w:type="dxa"/>
            <w:vAlign w:val="bottom"/>
          </w:tcPr>
          <w:p>
            <w:pPr>
              <w:jc w:val="right"/>
              <w:ind w:right="298"/>
              <w:spacing w:after="0"/>
              <w:rPr>
                <w:sz w:val="20"/>
                <w:szCs w:val="20"/>
                <w:color w:val="auto"/>
              </w:rPr>
            </w:pPr>
            <w:r>
              <w:rPr>
                <w:rFonts w:ascii="Arial" w:cs="Arial" w:eastAsia="Arial" w:hAnsi="Arial"/>
                <w:sz w:val="12"/>
                <w:szCs w:val="12"/>
                <w:b w:val="1"/>
                <w:bCs w:val="1"/>
                <w:color w:val="3C3C3B"/>
              </w:rPr>
              <w:t>Increase</w:t>
            </w:r>
          </w:p>
        </w:tc>
        <w:tc>
          <w:tcPr>
            <w:tcW w:w="1180" w:type="dxa"/>
            <w:vAlign w:val="bottom"/>
          </w:tcPr>
          <w:p>
            <w:pPr>
              <w:jc w:val="right"/>
              <w:ind w:right="198"/>
              <w:spacing w:after="0"/>
              <w:rPr>
                <w:sz w:val="20"/>
                <w:szCs w:val="20"/>
                <w:color w:val="auto"/>
              </w:rPr>
            </w:pPr>
            <w:r>
              <w:rPr>
                <w:rFonts w:ascii="Arial" w:cs="Arial" w:eastAsia="Arial" w:hAnsi="Arial"/>
                <w:sz w:val="12"/>
                <w:szCs w:val="12"/>
                <w:b w:val="1"/>
                <w:bCs w:val="1"/>
                <w:color w:val="3C3C3B"/>
              </w:rPr>
              <w:t>Decrease</w:t>
            </w:r>
          </w:p>
        </w:tc>
        <w:tc>
          <w:tcPr>
            <w:tcW w:w="1300" w:type="dxa"/>
            <w:vAlign w:val="bottom"/>
          </w:tcPr>
          <w:p>
            <w:pPr>
              <w:jc w:val="right"/>
              <w:ind w:right="218"/>
              <w:spacing w:after="0"/>
              <w:rPr>
                <w:sz w:val="20"/>
                <w:szCs w:val="20"/>
                <w:color w:val="auto"/>
              </w:rPr>
            </w:pPr>
            <w:r>
              <w:rPr>
                <w:rFonts w:ascii="Arial" w:cs="Arial" w:eastAsia="Arial" w:hAnsi="Arial"/>
                <w:sz w:val="12"/>
                <w:szCs w:val="12"/>
                <w:b w:val="1"/>
                <w:bCs w:val="1"/>
                <w:color w:val="3C3C3B"/>
              </w:rPr>
              <w:t>Translation</w:t>
            </w:r>
          </w:p>
        </w:tc>
        <w:tc>
          <w:tcPr>
            <w:tcW w:w="1500" w:type="dxa"/>
            <w:vAlign w:val="bottom"/>
          </w:tcPr>
          <w:p>
            <w:pPr>
              <w:jc w:val="right"/>
              <w:ind w:right="218"/>
              <w:spacing w:after="0"/>
              <w:rPr>
                <w:sz w:val="20"/>
                <w:szCs w:val="20"/>
                <w:color w:val="auto"/>
              </w:rPr>
            </w:pPr>
            <w:r>
              <w:rPr>
                <w:rFonts w:ascii="Arial" w:cs="Arial" w:eastAsia="Arial" w:hAnsi="Arial"/>
                <w:sz w:val="12"/>
                <w:szCs w:val="12"/>
                <w:b w:val="1"/>
                <w:bCs w:val="1"/>
                <w:color w:val="3C3C3B"/>
              </w:rPr>
              <w:t>Reclassification</w:t>
            </w:r>
          </w:p>
        </w:tc>
        <w:tc>
          <w:tcPr>
            <w:tcW w:w="1020" w:type="dxa"/>
            <w:vAlign w:val="bottom"/>
          </w:tcPr>
          <w:p>
            <w:pPr>
              <w:jc w:val="right"/>
              <w:ind w:right="358"/>
              <w:spacing w:after="0"/>
              <w:rPr>
                <w:sz w:val="20"/>
                <w:szCs w:val="20"/>
                <w:color w:val="auto"/>
              </w:rPr>
            </w:pPr>
            <w:r>
              <w:rPr>
                <w:rFonts w:ascii="Arial" w:cs="Arial" w:eastAsia="Arial" w:hAnsi="Arial"/>
                <w:sz w:val="12"/>
                <w:szCs w:val="12"/>
                <w:b w:val="1"/>
                <w:bCs w:val="1"/>
                <w:color w:val="3C3C3B"/>
              </w:rPr>
              <w:t>As of</w:t>
            </w:r>
          </w:p>
        </w:tc>
      </w:tr>
      <w:tr>
        <w:trPr>
          <w:trHeight w:val="199"/>
        </w:trPr>
        <w:tc>
          <w:tcPr>
            <w:tcW w:w="346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1520" w:type="dxa"/>
            <w:vAlign w:val="bottom"/>
          </w:tcPr>
          <w:p>
            <w:pPr>
              <w:jc w:val="right"/>
              <w:ind w:right="338"/>
              <w:spacing w:after="0"/>
              <w:rPr>
                <w:sz w:val="20"/>
                <w:szCs w:val="20"/>
                <w:color w:val="auto"/>
              </w:rPr>
            </w:pPr>
            <w:r>
              <w:rPr>
                <w:rFonts w:ascii="Arial" w:cs="Arial" w:eastAsia="Arial" w:hAnsi="Arial"/>
                <w:sz w:val="12"/>
                <w:szCs w:val="12"/>
                <w:b w:val="1"/>
                <w:bCs w:val="1"/>
                <w:color w:val="3C3C3B"/>
              </w:rPr>
              <w:t>2024/12/31</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jc w:val="right"/>
              <w:ind w:right="218"/>
              <w:spacing w:after="0"/>
              <w:rPr>
                <w:sz w:val="20"/>
                <w:szCs w:val="20"/>
                <w:color w:val="auto"/>
              </w:rPr>
            </w:pPr>
            <w:r>
              <w:rPr>
                <w:rFonts w:ascii="Arial" w:cs="Arial" w:eastAsia="Arial" w:hAnsi="Arial"/>
                <w:sz w:val="12"/>
                <w:szCs w:val="12"/>
                <w:b w:val="1"/>
                <w:bCs w:val="1"/>
                <w:color w:val="3C3C3B"/>
              </w:rPr>
              <w:t>adjustments</w:t>
            </w:r>
          </w:p>
        </w:tc>
        <w:tc>
          <w:tcPr>
            <w:tcW w:w="1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3460" w:type="dxa"/>
            <w:vAlign w:val="bottom"/>
            <w:tcBorders>
              <w:bottom w:val="single" w:sz="8" w:color="494949"/>
            </w:tcBorders>
          </w:tcPr>
          <w:p>
            <w:pPr>
              <w:spacing w:after="0" w:line="20" w:lineRule="exact"/>
              <w:rPr>
                <w:sz w:val="1"/>
                <w:szCs w:val="1"/>
                <w:color w:val="auto"/>
              </w:rPr>
            </w:pPr>
          </w:p>
        </w:tc>
        <w:tc>
          <w:tcPr>
            <w:tcW w:w="1520" w:type="dxa"/>
            <w:vAlign w:val="bottom"/>
            <w:tcBorders>
              <w:bottom w:val="single" w:sz="8" w:color="494949"/>
            </w:tcBorders>
          </w:tcPr>
          <w:p>
            <w:pPr>
              <w:spacing w:after="0" w:line="20" w:lineRule="exact"/>
              <w:rPr>
                <w:sz w:val="1"/>
                <w:szCs w:val="1"/>
                <w:color w:val="auto"/>
              </w:rPr>
            </w:pPr>
          </w:p>
        </w:tc>
        <w:tc>
          <w:tcPr>
            <w:tcW w:w="1240" w:type="dxa"/>
            <w:vAlign w:val="bottom"/>
            <w:tcBorders>
              <w:bottom w:val="single" w:sz="8" w:color="494949"/>
            </w:tcBorders>
          </w:tcPr>
          <w:p>
            <w:pPr>
              <w:spacing w:after="0" w:line="20" w:lineRule="exact"/>
              <w:rPr>
                <w:sz w:val="1"/>
                <w:szCs w:val="1"/>
                <w:color w:val="auto"/>
              </w:rPr>
            </w:pPr>
          </w:p>
        </w:tc>
        <w:tc>
          <w:tcPr>
            <w:tcW w:w="1180" w:type="dxa"/>
            <w:vAlign w:val="bottom"/>
            <w:tcBorders>
              <w:bottom w:val="single" w:sz="8" w:color="494949"/>
            </w:tcBorders>
          </w:tcPr>
          <w:p>
            <w:pPr>
              <w:spacing w:after="0" w:line="20" w:lineRule="exact"/>
              <w:rPr>
                <w:sz w:val="1"/>
                <w:szCs w:val="1"/>
                <w:color w:val="auto"/>
              </w:rPr>
            </w:pPr>
          </w:p>
        </w:tc>
        <w:tc>
          <w:tcPr>
            <w:tcW w:w="1300" w:type="dxa"/>
            <w:vAlign w:val="bottom"/>
            <w:tcBorders>
              <w:bottom w:val="single" w:sz="8" w:color="494949"/>
            </w:tcBorders>
          </w:tcPr>
          <w:p>
            <w:pPr>
              <w:spacing w:after="0" w:line="20" w:lineRule="exact"/>
              <w:rPr>
                <w:sz w:val="1"/>
                <w:szCs w:val="1"/>
                <w:color w:val="auto"/>
              </w:rPr>
            </w:pPr>
          </w:p>
        </w:tc>
        <w:tc>
          <w:tcPr>
            <w:tcW w:w="1500" w:type="dxa"/>
            <w:vAlign w:val="bottom"/>
            <w:tcBorders>
              <w:bottom w:val="single" w:sz="8" w:color="494949"/>
            </w:tcBorders>
          </w:tcPr>
          <w:p>
            <w:pPr>
              <w:spacing w:after="0" w:line="20" w:lineRule="exact"/>
              <w:rPr>
                <w:sz w:val="1"/>
                <w:szCs w:val="1"/>
                <w:color w:val="auto"/>
              </w:rPr>
            </w:pPr>
          </w:p>
        </w:tc>
        <w:tc>
          <w:tcPr>
            <w:tcW w:w="1020" w:type="dxa"/>
            <w:vAlign w:val="bottom"/>
            <w:tcBorders>
              <w:bottom w:val="single" w:sz="8" w:color="494949"/>
            </w:tcBorders>
          </w:tcPr>
          <w:p>
            <w:pPr>
              <w:spacing w:after="0" w:line="20" w:lineRule="exact"/>
              <w:rPr>
                <w:sz w:val="1"/>
                <w:szCs w:val="1"/>
                <w:color w:val="auto"/>
              </w:rPr>
            </w:pPr>
          </w:p>
        </w:tc>
      </w:tr>
      <w:tr>
        <w:trPr>
          <w:trHeight w:val="172"/>
        </w:trPr>
        <w:tc>
          <w:tcPr>
            <w:tcW w:w="3460" w:type="dxa"/>
            <w:vAlign w:val="bottom"/>
          </w:tcPr>
          <w:p>
            <w:pPr>
              <w:ind w:left="20"/>
              <w:spacing w:after="0"/>
              <w:rPr>
                <w:sz w:val="20"/>
                <w:szCs w:val="20"/>
                <w:color w:val="auto"/>
              </w:rPr>
            </w:pPr>
            <w:r>
              <w:rPr>
                <w:rFonts w:ascii="Arial" w:cs="Arial" w:eastAsia="Arial" w:hAnsi="Arial"/>
                <w:sz w:val="12"/>
                <w:szCs w:val="12"/>
                <w:b w:val="1"/>
                <w:bCs w:val="1"/>
                <w:color w:val="3C3C3B"/>
              </w:rPr>
              <w:t>Gross</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3460" w:type="dxa"/>
            <w:vAlign w:val="bottom"/>
            <w:tcBorders>
              <w:bottom w:val="single" w:sz="8" w:color="E99D25"/>
            </w:tcBorders>
          </w:tcPr>
          <w:p>
            <w:pPr>
              <w:spacing w:after="0" w:line="20" w:lineRule="exact"/>
              <w:rPr>
                <w:sz w:val="1"/>
                <w:szCs w:val="1"/>
                <w:color w:val="auto"/>
              </w:rPr>
            </w:pPr>
          </w:p>
        </w:tc>
        <w:tc>
          <w:tcPr>
            <w:tcW w:w="1520" w:type="dxa"/>
            <w:vAlign w:val="bottom"/>
            <w:tcBorders>
              <w:bottom w:val="single" w:sz="8" w:color="E99D25"/>
            </w:tcBorders>
          </w:tcPr>
          <w:p>
            <w:pPr>
              <w:spacing w:after="0" w:line="20" w:lineRule="exact"/>
              <w:rPr>
                <w:sz w:val="1"/>
                <w:szCs w:val="1"/>
                <w:color w:val="auto"/>
              </w:rPr>
            </w:pPr>
          </w:p>
        </w:tc>
        <w:tc>
          <w:tcPr>
            <w:tcW w:w="1240" w:type="dxa"/>
            <w:vAlign w:val="bottom"/>
            <w:tcBorders>
              <w:bottom w:val="single" w:sz="8" w:color="E99D25"/>
            </w:tcBorders>
          </w:tcPr>
          <w:p>
            <w:pPr>
              <w:spacing w:after="0" w:line="20" w:lineRule="exact"/>
              <w:rPr>
                <w:sz w:val="1"/>
                <w:szCs w:val="1"/>
                <w:color w:val="auto"/>
              </w:rPr>
            </w:pPr>
          </w:p>
        </w:tc>
        <w:tc>
          <w:tcPr>
            <w:tcW w:w="1180" w:type="dxa"/>
            <w:vAlign w:val="bottom"/>
            <w:tcBorders>
              <w:bottom w:val="single" w:sz="8" w:color="E99D25"/>
            </w:tcBorders>
          </w:tcPr>
          <w:p>
            <w:pPr>
              <w:spacing w:after="0" w:line="20" w:lineRule="exact"/>
              <w:rPr>
                <w:sz w:val="1"/>
                <w:szCs w:val="1"/>
                <w:color w:val="auto"/>
              </w:rPr>
            </w:pPr>
          </w:p>
        </w:tc>
        <w:tc>
          <w:tcPr>
            <w:tcW w:w="1300" w:type="dxa"/>
            <w:vAlign w:val="bottom"/>
            <w:tcBorders>
              <w:bottom w:val="single" w:sz="8" w:color="E99D25"/>
            </w:tcBorders>
          </w:tcPr>
          <w:p>
            <w:pPr>
              <w:spacing w:after="0" w:line="20" w:lineRule="exact"/>
              <w:rPr>
                <w:sz w:val="1"/>
                <w:szCs w:val="1"/>
                <w:color w:val="auto"/>
              </w:rPr>
            </w:pPr>
          </w:p>
        </w:tc>
        <w:tc>
          <w:tcPr>
            <w:tcW w:w="1500" w:type="dxa"/>
            <w:vAlign w:val="bottom"/>
            <w:tcBorders>
              <w:bottom w:val="single" w:sz="8" w:color="E99D25"/>
            </w:tcBorders>
          </w:tcPr>
          <w:p>
            <w:pPr>
              <w:spacing w:after="0" w:line="20" w:lineRule="exact"/>
              <w:rPr>
                <w:sz w:val="1"/>
                <w:szCs w:val="1"/>
                <w:color w:val="auto"/>
              </w:rPr>
            </w:pPr>
          </w:p>
        </w:tc>
        <w:tc>
          <w:tcPr>
            <w:tcW w:w="1020" w:type="dxa"/>
            <w:vAlign w:val="bottom"/>
            <w:tcBorders>
              <w:bottom w:val="single" w:sz="8" w:color="E99D25"/>
            </w:tcBorders>
          </w:tcPr>
          <w:p>
            <w:pPr>
              <w:spacing w:after="0" w:line="20" w:lineRule="exact"/>
              <w:rPr>
                <w:sz w:val="1"/>
                <w:szCs w:val="1"/>
                <w:color w:val="auto"/>
              </w:rPr>
            </w:pPr>
          </w:p>
        </w:tc>
      </w:tr>
      <w:tr>
        <w:trPr>
          <w:trHeight w:val="172"/>
        </w:trPr>
        <w:tc>
          <w:tcPr>
            <w:tcW w:w="34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Software</w:t>
            </w:r>
          </w:p>
        </w:tc>
        <w:tc>
          <w:tcPr>
            <w:tcW w:w="1520" w:type="dxa"/>
            <w:vAlign w:val="bottom"/>
            <w:tcBorders>
              <w:bottom w:val="single" w:sz="8" w:color="FDF5E7"/>
            </w:tcBorders>
            <w:shd w:val="clear" w:color="auto" w:fill="FDF5E7"/>
          </w:tcPr>
          <w:p>
            <w:pPr>
              <w:jc w:val="right"/>
              <w:ind w:right="378"/>
              <w:spacing w:after="0"/>
              <w:rPr>
                <w:sz w:val="20"/>
                <w:szCs w:val="20"/>
                <w:color w:val="auto"/>
              </w:rPr>
            </w:pPr>
            <w:r>
              <w:rPr>
                <w:rFonts w:ascii="Arial" w:cs="Arial" w:eastAsia="Arial" w:hAnsi="Arial"/>
                <w:sz w:val="12"/>
                <w:szCs w:val="12"/>
                <w:color w:val="auto"/>
              </w:rPr>
              <w:t>776</w:t>
            </w:r>
          </w:p>
        </w:tc>
        <w:tc>
          <w:tcPr>
            <w:tcW w:w="1240" w:type="dxa"/>
            <w:vAlign w:val="bottom"/>
            <w:tcBorders>
              <w:bottom w:val="single" w:sz="8" w:color="FDF5E7"/>
            </w:tcBorders>
            <w:shd w:val="clear" w:color="auto" w:fill="FDF5E7"/>
          </w:tcPr>
          <w:p>
            <w:pPr>
              <w:jc w:val="right"/>
              <w:ind w:right="338"/>
              <w:spacing w:after="0"/>
              <w:rPr>
                <w:sz w:val="20"/>
                <w:szCs w:val="20"/>
                <w:color w:val="auto"/>
              </w:rPr>
            </w:pPr>
            <w:r>
              <w:rPr>
                <w:rFonts w:ascii="Arial" w:cs="Arial" w:eastAsia="Arial" w:hAnsi="Arial"/>
                <w:sz w:val="12"/>
                <w:szCs w:val="12"/>
                <w:color w:val="auto"/>
              </w:rPr>
              <w:t>34</w:t>
            </w:r>
          </w:p>
        </w:tc>
        <w:tc>
          <w:tcPr>
            <w:tcW w:w="1180" w:type="dxa"/>
            <w:vAlign w:val="bottom"/>
            <w:tcBorders>
              <w:bottom w:val="single" w:sz="8" w:color="FDF5E7"/>
            </w:tcBorders>
            <w:shd w:val="clear" w:color="auto" w:fill="FDF5E7"/>
          </w:tcPr>
          <w:p>
            <w:pPr>
              <w:jc w:val="right"/>
              <w:ind w:right="218"/>
              <w:spacing w:after="0"/>
              <w:rPr>
                <w:sz w:val="20"/>
                <w:szCs w:val="20"/>
                <w:color w:val="auto"/>
              </w:rPr>
            </w:pPr>
            <w:r>
              <w:rPr>
                <w:rFonts w:ascii="Arial" w:cs="Arial" w:eastAsia="Arial" w:hAnsi="Arial"/>
                <w:sz w:val="12"/>
                <w:szCs w:val="12"/>
                <w:color w:val="auto"/>
              </w:rPr>
              <w:t>(165)</w:t>
            </w:r>
          </w:p>
        </w:tc>
        <w:tc>
          <w:tcPr>
            <w:tcW w:w="130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645</w:t>
            </w:r>
          </w:p>
        </w:tc>
      </w:tr>
      <w:tr>
        <w:trPr>
          <w:trHeight w:val="173"/>
        </w:trPr>
        <w:tc>
          <w:tcPr>
            <w:tcW w:w="3460" w:type="dxa"/>
            <w:vAlign w:val="bottom"/>
          </w:tcPr>
          <w:p>
            <w:pPr>
              <w:ind w:left="20"/>
              <w:spacing w:after="0"/>
              <w:rPr>
                <w:sz w:val="20"/>
                <w:szCs w:val="20"/>
                <w:color w:val="auto"/>
              </w:rPr>
            </w:pPr>
            <w:r>
              <w:rPr>
                <w:rFonts w:ascii="Arial" w:cs="Arial" w:eastAsia="Arial" w:hAnsi="Arial"/>
                <w:sz w:val="12"/>
                <w:szCs w:val="12"/>
                <w:color w:val="3C3C3B"/>
              </w:rPr>
              <w:t>Patents</w:t>
            </w:r>
          </w:p>
        </w:tc>
        <w:tc>
          <w:tcPr>
            <w:tcW w:w="1520" w:type="dxa"/>
            <w:vAlign w:val="bottom"/>
          </w:tcPr>
          <w:p>
            <w:pPr>
              <w:jc w:val="right"/>
              <w:ind w:right="378"/>
              <w:spacing w:after="0"/>
              <w:rPr>
                <w:sz w:val="20"/>
                <w:szCs w:val="20"/>
                <w:color w:val="auto"/>
              </w:rPr>
            </w:pPr>
            <w:r>
              <w:rPr>
                <w:rFonts w:ascii="Arial" w:cs="Arial" w:eastAsia="Arial" w:hAnsi="Arial"/>
                <w:sz w:val="12"/>
                <w:szCs w:val="12"/>
                <w:color w:val="auto"/>
              </w:rPr>
              <w:t>364</w:t>
            </w:r>
          </w:p>
        </w:tc>
        <w:tc>
          <w:tcPr>
            <w:tcW w:w="124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258"/>
              <w:spacing w:after="0"/>
              <w:rPr>
                <w:sz w:val="20"/>
                <w:szCs w:val="20"/>
                <w:color w:val="auto"/>
              </w:rPr>
            </w:pPr>
            <w:r>
              <w:rPr>
                <w:rFonts w:ascii="Arial" w:cs="Arial" w:eastAsia="Arial" w:hAnsi="Arial"/>
                <w:sz w:val="12"/>
                <w:szCs w:val="12"/>
                <w:color w:val="auto"/>
              </w:rPr>
              <w:t>2</w:t>
            </w:r>
          </w:p>
        </w:tc>
        <w:tc>
          <w:tcPr>
            <w:tcW w:w="1020" w:type="dxa"/>
            <w:vAlign w:val="bottom"/>
          </w:tcPr>
          <w:p>
            <w:pPr>
              <w:jc w:val="right"/>
              <w:spacing w:after="0"/>
              <w:rPr>
                <w:sz w:val="20"/>
                <w:szCs w:val="20"/>
                <w:color w:val="auto"/>
              </w:rPr>
            </w:pPr>
            <w:r>
              <w:rPr>
                <w:rFonts w:ascii="Arial" w:cs="Arial" w:eastAsia="Arial" w:hAnsi="Arial"/>
                <w:sz w:val="12"/>
                <w:szCs w:val="12"/>
                <w:color w:val="auto"/>
              </w:rPr>
              <w:t>366</w:t>
            </w:r>
          </w:p>
        </w:tc>
      </w:tr>
      <w:tr>
        <w:trPr>
          <w:trHeight w:val="26"/>
        </w:trPr>
        <w:tc>
          <w:tcPr>
            <w:tcW w:w="3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9"/>
        </w:trPr>
        <w:tc>
          <w:tcPr>
            <w:tcW w:w="34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Other intangibles</w:t>
            </w:r>
          </w:p>
        </w:tc>
        <w:tc>
          <w:tcPr>
            <w:tcW w:w="1520" w:type="dxa"/>
            <w:vAlign w:val="bottom"/>
            <w:tcBorders>
              <w:bottom w:val="single" w:sz="8" w:color="FDF5E7"/>
            </w:tcBorders>
            <w:shd w:val="clear" w:color="auto" w:fill="FDF5E7"/>
          </w:tcPr>
          <w:p>
            <w:pPr>
              <w:jc w:val="right"/>
              <w:ind w:right="378"/>
              <w:spacing w:after="0"/>
              <w:rPr>
                <w:sz w:val="20"/>
                <w:szCs w:val="20"/>
                <w:color w:val="auto"/>
              </w:rPr>
            </w:pPr>
            <w:r>
              <w:rPr>
                <w:rFonts w:ascii="Arial" w:cs="Arial" w:eastAsia="Arial" w:hAnsi="Arial"/>
                <w:sz w:val="12"/>
                <w:szCs w:val="12"/>
                <w:color w:val="auto"/>
              </w:rPr>
              <w:t>47,618</w:t>
            </w:r>
          </w:p>
        </w:tc>
        <w:tc>
          <w:tcPr>
            <w:tcW w:w="1240" w:type="dxa"/>
            <w:vAlign w:val="bottom"/>
            <w:tcBorders>
              <w:bottom w:val="single" w:sz="8" w:color="FDF5E7"/>
            </w:tcBorders>
            <w:shd w:val="clear" w:color="auto" w:fill="FDF5E7"/>
          </w:tcPr>
          <w:p>
            <w:pPr>
              <w:jc w:val="right"/>
              <w:ind w:right="338"/>
              <w:spacing w:after="0"/>
              <w:rPr>
                <w:sz w:val="20"/>
                <w:szCs w:val="20"/>
                <w:color w:val="auto"/>
              </w:rPr>
            </w:pPr>
            <w:r>
              <w:rPr>
                <w:rFonts w:ascii="Arial" w:cs="Arial" w:eastAsia="Arial" w:hAnsi="Arial"/>
                <w:sz w:val="12"/>
                <w:szCs w:val="12"/>
                <w:color w:val="auto"/>
              </w:rPr>
              <w:t>2,000</w:t>
            </w:r>
          </w:p>
        </w:tc>
        <w:tc>
          <w:tcPr>
            <w:tcW w:w="118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317</w:t>
            </w:r>
          </w:p>
        </w:tc>
        <w:tc>
          <w:tcPr>
            <w:tcW w:w="150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49,935</w:t>
            </w:r>
          </w:p>
        </w:tc>
      </w:tr>
      <w:tr>
        <w:trPr>
          <w:trHeight w:val="178"/>
        </w:trPr>
        <w:tc>
          <w:tcPr>
            <w:tcW w:w="3460" w:type="dxa"/>
            <w:vAlign w:val="bottom"/>
          </w:tcPr>
          <w:p>
            <w:pPr>
              <w:ind w:left="20"/>
              <w:spacing w:after="0"/>
              <w:rPr>
                <w:sz w:val="20"/>
                <w:szCs w:val="20"/>
                <w:color w:val="auto"/>
              </w:rPr>
            </w:pPr>
            <w:r>
              <w:rPr>
                <w:rFonts w:ascii="Arial" w:cs="Arial" w:eastAsia="Arial" w:hAnsi="Arial"/>
                <w:sz w:val="12"/>
                <w:szCs w:val="12"/>
                <w:b w:val="1"/>
                <w:bCs w:val="1"/>
                <w:i w:val="1"/>
                <w:iCs w:val="1"/>
                <w:color w:val="3C3C3B"/>
              </w:rPr>
              <w:t>TOTAL—Gross</w:t>
            </w:r>
          </w:p>
        </w:tc>
        <w:tc>
          <w:tcPr>
            <w:tcW w:w="1520" w:type="dxa"/>
            <w:vAlign w:val="bottom"/>
          </w:tcPr>
          <w:p>
            <w:pPr>
              <w:jc w:val="right"/>
              <w:ind w:right="378"/>
              <w:spacing w:after="0"/>
              <w:rPr>
                <w:sz w:val="20"/>
                <w:szCs w:val="20"/>
                <w:color w:val="auto"/>
              </w:rPr>
            </w:pPr>
            <w:r>
              <w:rPr>
                <w:rFonts w:ascii="Arial" w:cs="Arial" w:eastAsia="Arial" w:hAnsi="Arial"/>
                <w:sz w:val="12"/>
                <w:szCs w:val="12"/>
                <w:b w:val="1"/>
                <w:bCs w:val="1"/>
                <w:i w:val="1"/>
                <w:iCs w:val="1"/>
                <w:color w:val="auto"/>
              </w:rPr>
              <w:t>48,757</w:t>
            </w:r>
          </w:p>
        </w:tc>
        <w:tc>
          <w:tcPr>
            <w:tcW w:w="1240" w:type="dxa"/>
            <w:vAlign w:val="bottom"/>
          </w:tcPr>
          <w:p>
            <w:pPr>
              <w:jc w:val="right"/>
              <w:ind w:right="338"/>
              <w:spacing w:after="0"/>
              <w:rPr>
                <w:sz w:val="20"/>
                <w:szCs w:val="20"/>
                <w:color w:val="auto"/>
              </w:rPr>
            </w:pPr>
            <w:r>
              <w:rPr>
                <w:rFonts w:ascii="Arial" w:cs="Arial" w:eastAsia="Arial" w:hAnsi="Arial"/>
                <w:sz w:val="12"/>
                <w:szCs w:val="12"/>
                <w:b w:val="1"/>
                <w:bCs w:val="1"/>
                <w:i w:val="1"/>
                <w:iCs w:val="1"/>
                <w:color w:val="auto"/>
              </w:rPr>
              <w:t>2,034</w:t>
            </w:r>
          </w:p>
        </w:tc>
        <w:tc>
          <w:tcPr>
            <w:tcW w:w="1180" w:type="dxa"/>
            <w:vAlign w:val="bottom"/>
          </w:tcPr>
          <w:p>
            <w:pPr>
              <w:jc w:val="right"/>
              <w:ind w:right="218"/>
              <w:spacing w:after="0"/>
              <w:rPr>
                <w:sz w:val="20"/>
                <w:szCs w:val="20"/>
                <w:color w:val="auto"/>
              </w:rPr>
            </w:pPr>
            <w:r>
              <w:rPr>
                <w:rFonts w:ascii="Arial" w:cs="Arial" w:eastAsia="Arial" w:hAnsi="Arial"/>
                <w:sz w:val="12"/>
                <w:szCs w:val="12"/>
                <w:b w:val="1"/>
                <w:bCs w:val="1"/>
                <w:i w:val="1"/>
                <w:iCs w:val="1"/>
                <w:color w:val="auto"/>
              </w:rPr>
              <w:t>(165)</w:t>
            </w:r>
          </w:p>
        </w:tc>
        <w:tc>
          <w:tcPr>
            <w:tcW w:w="1300" w:type="dxa"/>
            <w:vAlign w:val="bottom"/>
          </w:tcPr>
          <w:p>
            <w:pPr>
              <w:jc w:val="right"/>
              <w:ind w:right="258"/>
              <w:spacing w:after="0"/>
              <w:rPr>
                <w:sz w:val="20"/>
                <w:szCs w:val="20"/>
                <w:color w:val="auto"/>
              </w:rPr>
            </w:pPr>
            <w:r>
              <w:rPr>
                <w:rFonts w:ascii="Arial" w:cs="Arial" w:eastAsia="Arial" w:hAnsi="Arial"/>
                <w:sz w:val="12"/>
                <w:szCs w:val="12"/>
                <w:b w:val="1"/>
                <w:bCs w:val="1"/>
                <w:i w:val="1"/>
                <w:iCs w:val="1"/>
                <w:color w:val="auto"/>
              </w:rPr>
              <w:t>317</w:t>
            </w:r>
          </w:p>
        </w:tc>
        <w:tc>
          <w:tcPr>
            <w:tcW w:w="1500" w:type="dxa"/>
            <w:vAlign w:val="bottom"/>
          </w:tcPr>
          <w:p>
            <w:pPr>
              <w:jc w:val="right"/>
              <w:ind w:right="258"/>
              <w:spacing w:after="0"/>
              <w:rPr>
                <w:sz w:val="20"/>
                <w:szCs w:val="20"/>
                <w:color w:val="auto"/>
              </w:rPr>
            </w:pPr>
            <w:r>
              <w:rPr>
                <w:rFonts w:ascii="Arial" w:cs="Arial" w:eastAsia="Arial" w:hAnsi="Arial"/>
                <w:sz w:val="12"/>
                <w:szCs w:val="12"/>
                <w:b w:val="1"/>
                <w:bCs w:val="1"/>
                <w:i w:val="1"/>
                <w:iCs w:val="1"/>
                <w:color w:val="auto"/>
              </w:rPr>
              <w:t>2</w:t>
            </w:r>
          </w:p>
        </w:tc>
        <w:tc>
          <w:tcPr>
            <w:tcW w:w="102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50,945</w:t>
            </w:r>
          </w:p>
        </w:tc>
      </w:tr>
      <w:tr>
        <w:trPr>
          <w:trHeight w:val="20"/>
        </w:trPr>
        <w:tc>
          <w:tcPr>
            <w:tcW w:w="3460" w:type="dxa"/>
            <w:vAlign w:val="bottom"/>
            <w:tcBorders>
              <w:bottom w:val="single" w:sz="8" w:color="242424"/>
            </w:tcBorders>
          </w:tcPr>
          <w:p>
            <w:pPr>
              <w:spacing w:after="0" w:line="20" w:lineRule="exact"/>
              <w:rPr>
                <w:sz w:val="1"/>
                <w:szCs w:val="1"/>
                <w:color w:val="auto"/>
              </w:rPr>
            </w:pPr>
          </w:p>
        </w:tc>
        <w:tc>
          <w:tcPr>
            <w:tcW w:w="1520" w:type="dxa"/>
            <w:vAlign w:val="bottom"/>
            <w:tcBorders>
              <w:bottom w:val="single" w:sz="8" w:color="242424"/>
            </w:tcBorders>
          </w:tcPr>
          <w:p>
            <w:pPr>
              <w:spacing w:after="0" w:line="20" w:lineRule="exact"/>
              <w:rPr>
                <w:sz w:val="1"/>
                <w:szCs w:val="1"/>
                <w:color w:val="auto"/>
              </w:rPr>
            </w:pPr>
          </w:p>
        </w:tc>
        <w:tc>
          <w:tcPr>
            <w:tcW w:w="1240" w:type="dxa"/>
            <w:vAlign w:val="bottom"/>
            <w:tcBorders>
              <w:bottom w:val="single" w:sz="8" w:color="242424"/>
            </w:tcBorders>
          </w:tcPr>
          <w:p>
            <w:pPr>
              <w:spacing w:after="0" w:line="20" w:lineRule="exact"/>
              <w:rPr>
                <w:sz w:val="1"/>
                <w:szCs w:val="1"/>
                <w:color w:val="auto"/>
              </w:rPr>
            </w:pPr>
          </w:p>
        </w:tc>
        <w:tc>
          <w:tcPr>
            <w:tcW w:w="1180" w:type="dxa"/>
            <w:vAlign w:val="bottom"/>
            <w:tcBorders>
              <w:bottom w:val="single" w:sz="8" w:color="242424"/>
            </w:tcBorders>
          </w:tcPr>
          <w:p>
            <w:pPr>
              <w:spacing w:after="0" w:line="20" w:lineRule="exact"/>
              <w:rPr>
                <w:sz w:val="1"/>
                <w:szCs w:val="1"/>
                <w:color w:val="auto"/>
              </w:rPr>
            </w:pPr>
          </w:p>
        </w:tc>
        <w:tc>
          <w:tcPr>
            <w:tcW w:w="1300" w:type="dxa"/>
            <w:vAlign w:val="bottom"/>
            <w:tcBorders>
              <w:bottom w:val="single" w:sz="8" w:color="242424"/>
            </w:tcBorders>
          </w:tcPr>
          <w:p>
            <w:pPr>
              <w:spacing w:after="0" w:line="20" w:lineRule="exact"/>
              <w:rPr>
                <w:sz w:val="1"/>
                <w:szCs w:val="1"/>
                <w:color w:val="auto"/>
              </w:rPr>
            </w:pPr>
          </w:p>
        </w:tc>
        <w:tc>
          <w:tcPr>
            <w:tcW w:w="1500" w:type="dxa"/>
            <w:vAlign w:val="bottom"/>
            <w:tcBorders>
              <w:bottom w:val="single" w:sz="8" w:color="242424"/>
            </w:tcBorders>
          </w:tcPr>
          <w:p>
            <w:pPr>
              <w:spacing w:after="0" w:line="20" w:lineRule="exact"/>
              <w:rPr>
                <w:sz w:val="1"/>
                <w:szCs w:val="1"/>
                <w:color w:val="auto"/>
              </w:rPr>
            </w:pPr>
          </w:p>
        </w:tc>
        <w:tc>
          <w:tcPr>
            <w:tcW w:w="1020" w:type="dxa"/>
            <w:vAlign w:val="bottom"/>
            <w:tcBorders>
              <w:bottom w:val="single" w:sz="8" w:color="242424"/>
            </w:tcBorders>
          </w:tcPr>
          <w:p>
            <w:pPr>
              <w:spacing w:after="0" w:line="20" w:lineRule="exact"/>
              <w:rPr>
                <w:sz w:val="1"/>
                <w:szCs w:val="1"/>
                <w:color w:val="auto"/>
              </w:rPr>
            </w:pPr>
          </w:p>
        </w:tc>
      </w:tr>
      <w:tr>
        <w:trPr>
          <w:trHeight w:val="172"/>
        </w:trPr>
        <w:tc>
          <w:tcPr>
            <w:tcW w:w="3460" w:type="dxa"/>
            <w:vAlign w:val="bottom"/>
          </w:tcPr>
          <w:p>
            <w:pPr>
              <w:ind w:left="20"/>
              <w:spacing w:after="0"/>
              <w:rPr>
                <w:sz w:val="20"/>
                <w:szCs w:val="20"/>
                <w:color w:val="auto"/>
              </w:rPr>
            </w:pPr>
            <w:r>
              <w:rPr>
                <w:rFonts w:ascii="Arial" w:cs="Arial" w:eastAsia="Arial" w:hAnsi="Arial"/>
                <w:sz w:val="12"/>
                <w:szCs w:val="12"/>
                <w:b w:val="1"/>
                <w:bCs w:val="1"/>
                <w:color w:val="3C3C3B"/>
              </w:rPr>
              <w:t>Accumulated depreciation and impairment</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3460" w:type="dxa"/>
            <w:vAlign w:val="bottom"/>
            <w:tcBorders>
              <w:bottom w:val="single" w:sz="8" w:color="E99D25"/>
            </w:tcBorders>
          </w:tcPr>
          <w:p>
            <w:pPr>
              <w:spacing w:after="0" w:line="20" w:lineRule="exact"/>
              <w:rPr>
                <w:sz w:val="1"/>
                <w:szCs w:val="1"/>
                <w:color w:val="auto"/>
              </w:rPr>
            </w:pPr>
          </w:p>
        </w:tc>
        <w:tc>
          <w:tcPr>
            <w:tcW w:w="1520" w:type="dxa"/>
            <w:vAlign w:val="bottom"/>
            <w:tcBorders>
              <w:bottom w:val="single" w:sz="8" w:color="E99D25"/>
            </w:tcBorders>
          </w:tcPr>
          <w:p>
            <w:pPr>
              <w:spacing w:after="0" w:line="20" w:lineRule="exact"/>
              <w:rPr>
                <w:sz w:val="1"/>
                <w:szCs w:val="1"/>
                <w:color w:val="auto"/>
              </w:rPr>
            </w:pPr>
          </w:p>
        </w:tc>
        <w:tc>
          <w:tcPr>
            <w:tcW w:w="1240" w:type="dxa"/>
            <w:vAlign w:val="bottom"/>
            <w:tcBorders>
              <w:bottom w:val="single" w:sz="8" w:color="E99D25"/>
            </w:tcBorders>
          </w:tcPr>
          <w:p>
            <w:pPr>
              <w:spacing w:after="0" w:line="20" w:lineRule="exact"/>
              <w:rPr>
                <w:sz w:val="1"/>
                <w:szCs w:val="1"/>
                <w:color w:val="auto"/>
              </w:rPr>
            </w:pPr>
          </w:p>
        </w:tc>
        <w:tc>
          <w:tcPr>
            <w:tcW w:w="1180" w:type="dxa"/>
            <w:vAlign w:val="bottom"/>
            <w:tcBorders>
              <w:bottom w:val="single" w:sz="8" w:color="E99D25"/>
            </w:tcBorders>
          </w:tcPr>
          <w:p>
            <w:pPr>
              <w:spacing w:after="0" w:line="20" w:lineRule="exact"/>
              <w:rPr>
                <w:sz w:val="1"/>
                <w:szCs w:val="1"/>
                <w:color w:val="auto"/>
              </w:rPr>
            </w:pPr>
          </w:p>
        </w:tc>
        <w:tc>
          <w:tcPr>
            <w:tcW w:w="1300" w:type="dxa"/>
            <w:vAlign w:val="bottom"/>
            <w:tcBorders>
              <w:bottom w:val="single" w:sz="8" w:color="E99D25"/>
            </w:tcBorders>
          </w:tcPr>
          <w:p>
            <w:pPr>
              <w:spacing w:after="0" w:line="20" w:lineRule="exact"/>
              <w:rPr>
                <w:sz w:val="1"/>
                <w:szCs w:val="1"/>
                <w:color w:val="auto"/>
              </w:rPr>
            </w:pPr>
          </w:p>
        </w:tc>
        <w:tc>
          <w:tcPr>
            <w:tcW w:w="1500" w:type="dxa"/>
            <w:vAlign w:val="bottom"/>
            <w:tcBorders>
              <w:bottom w:val="single" w:sz="8" w:color="E99D25"/>
            </w:tcBorders>
          </w:tcPr>
          <w:p>
            <w:pPr>
              <w:spacing w:after="0" w:line="20" w:lineRule="exact"/>
              <w:rPr>
                <w:sz w:val="1"/>
                <w:szCs w:val="1"/>
                <w:color w:val="auto"/>
              </w:rPr>
            </w:pPr>
          </w:p>
        </w:tc>
        <w:tc>
          <w:tcPr>
            <w:tcW w:w="1020" w:type="dxa"/>
            <w:vAlign w:val="bottom"/>
            <w:tcBorders>
              <w:bottom w:val="single" w:sz="8" w:color="E99D25"/>
            </w:tcBorders>
          </w:tcPr>
          <w:p>
            <w:pPr>
              <w:spacing w:after="0" w:line="20" w:lineRule="exact"/>
              <w:rPr>
                <w:sz w:val="1"/>
                <w:szCs w:val="1"/>
                <w:color w:val="auto"/>
              </w:rPr>
            </w:pPr>
          </w:p>
        </w:tc>
      </w:tr>
      <w:tr>
        <w:trPr>
          <w:trHeight w:val="172"/>
        </w:trPr>
        <w:tc>
          <w:tcPr>
            <w:tcW w:w="34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Software</w:t>
            </w:r>
          </w:p>
        </w:tc>
        <w:tc>
          <w:tcPr>
            <w:tcW w:w="1520" w:type="dxa"/>
            <w:vAlign w:val="bottom"/>
            <w:tcBorders>
              <w:bottom w:val="single" w:sz="8" w:color="FDF5E7"/>
            </w:tcBorders>
            <w:shd w:val="clear" w:color="auto" w:fill="FDF5E7"/>
          </w:tcPr>
          <w:p>
            <w:pPr>
              <w:jc w:val="right"/>
              <w:ind w:right="338"/>
              <w:spacing w:after="0"/>
              <w:rPr>
                <w:sz w:val="20"/>
                <w:szCs w:val="20"/>
                <w:color w:val="auto"/>
              </w:rPr>
            </w:pPr>
            <w:r>
              <w:rPr>
                <w:rFonts w:ascii="Arial" w:cs="Arial" w:eastAsia="Arial" w:hAnsi="Arial"/>
                <w:sz w:val="12"/>
                <w:szCs w:val="12"/>
                <w:color w:val="auto"/>
              </w:rPr>
              <w:t>(759)</w:t>
            </w:r>
          </w:p>
        </w:tc>
        <w:tc>
          <w:tcPr>
            <w:tcW w:w="1240" w:type="dxa"/>
            <w:vAlign w:val="bottom"/>
            <w:tcBorders>
              <w:bottom w:val="single" w:sz="8" w:color="FDF5E7"/>
            </w:tcBorders>
            <w:shd w:val="clear" w:color="auto" w:fill="FDF5E7"/>
          </w:tcPr>
          <w:p>
            <w:pPr>
              <w:jc w:val="right"/>
              <w:ind w:right="318"/>
              <w:spacing w:after="0"/>
              <w:rPr>
                <w:sz w:val="20"/>
                <w:szCs w:val="20"/>
                <w:color w:val="auto"/>
              </w:rPr>
            </w:pPr>
            <w:r>
              <w:rPr>
                <w:rFonts w:ascii="Arial" w:cs="Arial" w:eastAsia="Arial" w:hAnsi="Arial"/>
                <w:sz w:val="12"/>
                <w:szCs w:val="12"/>
                <w:color w:val="auto"/>
              </w:rPr>
              <w:t>(5)</w:t>
            </w:r>
          </w:p>
        </w:tc>
        <w:tc>
          <w:tcPr>
            <w:tcW w:w="118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165</w:t>
            </w:r>
          </w:p>
        </w:tc>
        <w:tc>
          <w:tcPr>
            <w:tcW w:w="130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(599)</w:t>
            </w:r>
          </w:p>
        </w:tc>
      </w:tr>
      <w:tr>
        <w:trPr>
          <w:trHeight w:val="173"/>
        </w:trPr>
        <w:tc>
          <w:tcPr>
            <w:tcW w:w="3460" w:type="dxa"/>
            <w:vAlign w:val="bottom"/>
          </w:tcPr>
          <w:p>
            <w:pPr>
              <w:ind w:left="20"/>
              <w:spacing w:after="0"/>
              <w:rPr>
                <w:sz w:val="20"/>
                <w:szCs w:val="20"/>
                <w:color w:val="auto"/>
              </w:rPr>
            </w:pPr>
            <w:r>
              <w:rPr>
                <w:rFonts w:ascii="Arial" w:cs="Arial" w:eastAsia="Arial" w:hAnsi="Arial"/>
                <w:sz w:val="12"/>
                <w:szCs w:val="12"/>
                <w:color w:val="3C3C3B"/>
              </w:rPr>
              <w:t>Patents</w:t>
            </w:r>
          </w:p>
        </w:tc>
        <w:tc>
          <w:tcPr>
            <w:tcW w:w="152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6"/>
        </w:trPr>
        <w:tc>
          <w:tcPr>
            <w:tcW w:w="3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4"/>
        </w:trPr>
        <w:tc>
          <w:tcPr>
            <w:tcW w:w="34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Other intangibles</w:t>
            </w:r>
          </w:p>
        </w:tc>
        <w:tc>
          <w:tcPr>
            <w:tcW w:w="1520" w:type="dxa"/>
            <w:vAlign w:val="bottom"/>
            <w:tcBorders>
              <w:bottom w:val="single" w:sz="8" w:color="FDF5E7"/>
            </w:tcBorders>
            <w:shd w:val="clear" w:color="auto" w:fill="FDF5E7"/>
          </w:tcPr>
          <w:p>
            <w:pPr>
              <w:jc w:val="right"/>
              <w:ind w:right="378"/>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FDF5E7"/>
            </w:tcBorders>
            <w:shd w:val="clear" w:color="auto" w:fill="FDF5E7"/>
          </w:tcPr>
          <w:p>
            <w:pPr>
              <w:jc w:val="right"/>
              <w:ind w:right="338"/>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w:t>
            </w:r>
          </w:p>
        </w:tc>
      </w:tr>
      <w:tr>
        <w:trPr>
          <w:trHeight w:val="172"/>
        </w:trPr>
        <w:tc>
          <w:tcPr>
            <w:tcW w:w="3460" w:type="dxa"/>
            <w:vAlign w:val="bottom"/>
            <w:tcBorders>
              <w:top w:val="single" w:sz="8" w:color="242424"/>
            </w:tcBorders>
          </w:tcPr>
          <w:p>
            <w:pPr>
              <w:ind w:left="20"/>
              <w:spacing w:after="0"/>
              <w:rPr>
                <w:sz w:val="20"/>
                <w:szCs w:val="20"/>
                <w:color w:val="auto"/>
              </w:rPr>
            </w:pPr>
            <w:r>
              <w:rPr>
                <w:rFonts w:ascii="Arial" w:cs="Arial" w:eastAsia="Arial" w:hAnsi="Arial"/>
                <w:sz w:val="12"/>
                <w:szCs w:val="12"/>
                <w:b w:val="1"/>
                <w:bCs w:val="1"/>
                <w:i w:val="1"/>
                <w:iCs w:val="1"/>
                <w:color w:val="3C3C3B"/>
              </w:rPr>
              <w:t>TOTAL - Accumulated depreciation and impairment</w:t>
            </w:r>
          </w:p>
        </w:tc>
        <w:tc>
          <w:tcPr>
            <w:tcW w:w="1520" w:type="dxa"/>
            <w:vAlign w:val="bottom"/>
            <w:tcBorders>
              <w:top w:val="single" w:sz="8" w:color="242424"/>
            </w:tcBorders>
          </w:tcPr>
          <w:p>
            <w:pPr>
              <w:jc w:val="right"/>
              <w:ind w:right="338"/>
              <w:spacing w:after="0"/>
              <w:rPr>
                <w:sz w:val="20"/>
                <w:szCs w:val="20"/>
                <w:color w:val="auto"/>
              </w:rPr>
            </w:pPr>
            <w:r>
              <w:rPr>
                <w:rFonts w:ascii="Arial" w:cs="Arial" w:eastAsia="Arial" w:hAnsi="Arial"/>
                <w:sz w:val="12"/>
                <w:szCs w:val="12"/>
                <w:b w:val="1"/>
                <w:bCs w:val="1"/>
                <w:i w:val="1"/>
                <w:iCs w:val="1"/>
                <w:color w:val="auto"/>
              </w:rPr>
              <w:t>(759)</w:t>
            </w:r>
          </w:p>
        </w:tc>
        <w:tc>
          <w:tcPr>
            <w:tcW w:w="1240" w:type="dxa"/>
            <w:vAlign w:val="bottom"/>
            <w:tcBorders>
              <w:top w:val="single" w:sz="8" w:color="242424"/>
            </w:tcBorders>
          </w:tcPr>
          <w:p>
            <w:pPr>
              <w:jc w:val="right"/>
              <w:ind w:right="318"/>
              <w:spacing w:after="0"/>
              <w:rPr>
                <w:sz w:val="20"/>
                <w:szCs w:val="20"/>
                <w:color w:val="auto"/>
              </w:rPr>
            </w:pPr>
            <w:r>
              <w:rPr>
                <w:rFonts w:ascii="Arial" w:cs="Arial" w:eastAsia="Arial" w:hAnsi="Arial"/>
                <w:sz w:val="12"/>
                <w:szCs w:val="12"/>
                <w:b w:val="1"/>
                <w:bCs w:val="1"/>
                <w:i w:val="1"/>
                <w:iCs w:val="1"/>
                <w:color w:val="auto"/>
              </w:rPr>
              <w:t>(5)</w:t>
            </w:r>
          </w:p>
        </w:tc>
        <w:tc>
          <w:tcPr>
            <w:tcW w:w="1180" w:type="dxa"/>
            <w:vAlign w:val="bottom"/>
            <w:tcBorders>
              <w:top w:val="single" w:sz="8" w:color="242424"/>
            </w:tcBorders>
          </w:tcPr>
          <w:p>
            <w:pPr>
              <w:jc w:val="right"/>
              <w:ind w:right="258"/>
              <w:spacing w:after="0"/>
              <w:rPr>
                <w:sz w:val="20"/>
                <w:szCs w:val="20"/>
                <w:color w:val="auto"/>
              </w:rPr>
            </w:pPr>
            <w:r>
              <w:rPr>
                <w:rFonts w:ascii="Arial" w:cs="Arial" w:eastAsia="Arial" w:hAnsi="Arial"/>
                <w:sz w:val="12"/>
                <w:szCs w:val="12"/>
                <w:b w:val="1"/>
                <w:bCs w:val="1"/>
                <w:i w:val="1"/>
                <w:iCs w:val="1"/>
                <w:color w:val="auto"/>
              </w:rPr>
              <w:t>165</w:t>
            </w:r>
          </w:p>
        </w:tc>
        <w:tc>
          <w:tcPr>
            <w:tcW w:w="1300" w:type="dxa"/>
            <w:vAlign w:val="bottom"/>
            <w:tcBorders>
              <w:top w:val="single" w:sz="8" w:color="242424"/>
            </w:tcBorders>
          </w:tcPr>
          <w:p>
            <w:pPr>
              <w:jc w:val="right"/>
              <w:ind w:right="258"/>
              <w:spacing w:after="0"/>
              <w:rPr>
                <w:sz w:val="20"/>
                <w:szCs w:val="20"/>
                <w:color w:val="auto"/>
              </w:rPr>
            </w:pPr>
            <w:r>
              <w:rPr>
                <w:rFonts w:ascii="Arial" w:cs="Arial" w:eastAsia="Arial" w:hAnsi="Arial"/>
                <w:sz w:val="12"/>
                <w:szCs w:val="12"/>
                <w:b w:val="1"/>
                <w:bCs w:val="1"/>
                <w:i w:val="1"/>
                <w:iCs w:val="1"/>
                <w:color w:val="auto"/>
              </w:rPr>
              <w:t>—</w:t>
            </w:r>
          </w:p>
        </w:tc>
        <w:tc>
          <w:tcPr>
            <w:tcW w:w="1500" w:type="dxa"/>
            <w:vAlign w:val="bottom"/>
            <w:tcBorders>
              <w:top w:val="single" w:sz="8" w:color="242424"/>
            </w:tcBorders>
          </w:tcPr>
          <w:p>
            <w:pPr>
              <w:jc w:val="right"/>
              <w:ind w:right="258"/>
              <w:spacing w:after="0"/>
              <w:rPr>
                <w:sz w:val="20"/>
                <w:szCs w:val="20"/>
                <w:color w:val="auto"/>
              </w:rPr>
            </w:pPr>
            <w:r>
              <w:rPr>
                <w:rFonts w:ascii="Arial" w:cs="Arial" w:eastAsia="Arial" w:hAnsi="Arial"/>
                <w:sz w:val="12"/>
                <w:szCs w:val="12"/>
                <w:b w:val="1"/>
                <w:bCs w:val="1"/>
                <w:i w:val="1"/>
                <w:iCs w:val="1"/>
                <w:color w:val="auto"/>
              </w:rPr>
              <w:t>—</w:t>
            </w:r>
          </w:p>
        </w:tc>
        <w:tc>
          <w:tcPr>
            <w:tcW w:w="1020" w:type="dxa"/>
            <w:vAlign w:val="bottom"/>
            <w:tcBorders>
              <w:top w:val="single" w:sz="8" w:color="242424"/>
            </w:tcBorders>
          </w:tcPr>
          <w:p>
            <w:pPr>
              <w:jc w:val="right"/>
              <w:spacing w:after="0"/>
              <w:rPr>
                <w:sz w:val="20"/>
                <w:szCs w:val="20"/>
                <w:color w:val="auto"/>
              </w:rPr>
            </w:pPr>
            <w:r>
              <w:rPr>
                <w:rFonts w:ascii="Arial" w:cs="Arial" w:eastAsia="Arial" w:hAnsi="Arial"/>
                <w:sz w:val="12"/>
                <w:szCs w:val="12"/>
                <w:b w:val="1"/>
                <w:bCs w:val="1"/>
                <w:i w:val="1"/>
                <w:iCs w:val="1"/>
                <w:color w:val="auto"/>
              </w:rPr>
              <w:t>(599)</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2"/>
        </w:trPr>
        <w:tc>
          <w:tcPr>
            <w:tcW w:w="3460" w:type="dxa"/>
            <w:vAlign w:val="bottom"/>
          </w:tcPr>
          <w:p>
            <w:pPr>
              <w:ind w:left="20"/>
              <w:spacing w:after="0"/>
              <w:rPr>
                <w:sz w:val="20"/>
                <w:szCs w:val="20"/>
                <w:color w:val="auto"/>
              </w:rPr>
            </w:pPr>
            <w:r>
              <w:rPr>
                <w:rFonts w:ascii="Arial" w:cs="Arial" w:eastAsia="Arial" w:hAnsi="Arial"/>
                <w:sz w:val="12"/>
                <w:szCs w:val="12"/>
                <w:b w:val="1"/>
                <w:bCs w:val="1"/>
                <w:color w:val="E99D25"/>
              </w:rPr>
              <w:t>TOTAL - Net</w:t>
            </w:r>
          </w:p>
        </w:tc>
        <w:tc>
          <w:tcPr>
            <w:tcW w:w="1520" w:type="dxa"/>
            <w:vAlign w:val="bottom"/>
          </w:tcPr>
          <w:p>
            <w:pPr>
              <w:jc w:val="right"/>
              <w:ind w:right="378"/>
              <w:spacing w:after="0"/>
              <w:rPr>
                <w:sz w:val="20"/>
                <w:szCs w:val="20"/>
                <w:color w:val="auto"/>
              </w:rPr>
            </w:pPr>
            <w:r>
              <w:rPr>
                <w:rFonts w:ascii="Arial" w:cs="Arial" w:eastAsia="Arial" w:hAnsi="Arial"/>
                <w:sz w:val="12"/>
                <w:szCs w:val="12"/>
                <w:b w:val="1"/>
                <w:bCs w:val="1"/>
                <w:color w:val="E99D25"/>
              </w:rPr>
              <w:t>47,998</w:t>
            </w:r>
          </w:p>
        </w:tc>
        <w:tc>
          <w:tcPr>
            <w:tcW w:w="1240" w:type="dxa"/>
            <w:vAlign w:val="bottom"/>
          </w:tcPr>
          <w:p>
            <w:pPr>
              <w:jc w:val="right"/>
              <w:ind w:right="338"/>
              <w:spacing w:after="0"/>
              <w:rPr>
                <w:sz w:val="20"/>
                <w:szCs w:val="20"/>
                <w:color w:val="auto"/>
              </w:rPr>
            </w:pPr>
            <w:r>
              <w:rPr>
                <w:rFonts w:ascii="Arial" w:cs="Arial" w:eastAsia="Arial" w:hAnsi="Arial"/>
                <w:sz w:val="12"/>
                <w:szCs w:val="12"/>
                <w:b w:val="1"/>
                <w:bCs w:val="1"/>
                <w:color w:val="E99D25"/>
              </w:rPr>
              <w:t>2,029</w:t>
            </w:r>
          </w:p>
        </w:tc>
        <w:tc>
          <w:tcPr>
            <w:tcW w:w="1180" w:type="dxa"/>
            <w:vAlign w:val="bottom"/>
          </w:tcPr>
          <w:p>
            <w:pPr>
              <w:jc w:val="right"/>
              <w:ind w:right="258"/>
              <w:spacing w:after="0"/>
              <w:rPr>
                <w:sz w:val="20"/>
                <w:szCs w:val="20"/>
                <w:color w:val="auto"/>
              </w:rPr>
            </w:pPr>
            <w:r>
              <w:rPr>
                <w:rFonts w:ascii="Arial" w:cs="Arial" w:eastAsia="Arial" w:hAnsi="Arial"/>
                <w:sz w:val="12"/>
                <w:szCs w:val="12"/>
                <w:b w:val="1"/>
                <w:bCs w:val="1"/>
                <w:color w:val="E99D25"/>
              </w:rPr>
              <w:t>—</w:t>
            </w:r>
          </w:p>
        </w:tc>
        <w:tc>
          <w:tcPr>
            <w:tcW w:w="1300" w:type="dxa"/>
            <w:vAlign w:val="bottom"/>
          </w:tcPr>
          <w:p>
            <w:pPr>
              <w:jc w:val="right"/>
              <w:ind w:right="258"/>
              <w:spacing w:after="0"/>
              <w:rPr>
                <w:sz w:val="20"/>
                <w:szCs w:val="20"/>
                <w:color w:val="auto"/>
              </w:rPr>
            </w:pPr>
            <w:r>
              <w:rPr>
                <w:rFonts w:ascii="Arial" w:cs="Arial" w:eastAsia="Arial" w:hAnsi="Arial"/>
                <w:sz w:val="12"/>
                <w:szCs w:val="12"/>
                <w:b w:val="1"/>
                <w:bCs w:val="1"/>
                <w:color w:val="E99D25"/>
              </w:rPr>
              <w:t>317</w:t>
            </w:r>
          </w:p>
        </w:tc>
        <w:tc>
          <w:tcPr>
            <w:tcW w:w="1500" w:type="dxa"/>
            <w:vAlign w:val="bottom"/>
          </w:tcPr>
          <w:p>
            <w:pPr>
              <w:jc w:val="right"/>
              <w:ind w:right="258"/>
              <w:spacing w:after="0"/>
              <w:rPr>
                <w:sz w:val="20"/>
                <w:szCs w:val="20"/>
                <w:color w:val="auto"/>
              </w:rPr>
            </w:pPr>
            <w:r>
              <w:rPr>
                <w:rFonts w:ascii="Arial" w:cs="Arial" w:eastAsia="Arial" w:hAnsi="Arial"/>
                <w:sz w:val="12"/>
                <w:szCs w:val="12"/>
                <w:b w:val="1"/>
                <w:bCs w:val="1"/>
                <w:color w:val="E99D25"/>
              </w:rPr>
              <w:t>2</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E99D25"/>
              </w:rPr>
              <w:t>50,346</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Software</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Software is comprised of office and scientific software.</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Other intangibles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Other Intangibles assets consist of licensing agreements with Seal Rock and Celloram as well as technology acquired from Versantis and Genoscience Pharma.</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3C3C3B"/>
        </w:rPr>
        <w:t>Each are detailed below.</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3C3C3B"/>
        </w:rPr>
        <w:t>Genoscience Pharma asset transfer (2025)</w:t>
      </w:r>
    </w:p>
    <w:p>
      <w:pPr>
        <w:spacing w:after="0" w:line="185"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5"/>
          <w:szCs w:val="15"/>
          <w:color w:val="3C3C3B"/>
        </w:rPr>
        <w:t>On January 3, 2025, GENFIT acquired all patents and patent applications, know-how, and data held by Genoscience Pharma necessary for the development, manufacturing, and marketing of GNS561, regardless of its therapeutic indication, form, dosage, or formulation. The sale price was a lump sum payment of €2 million euros excluding taxes. This agreement terminates the previous agreement signed in 2021.</w:t>
      </w:r>
    </w:p>
    <w:p>
      <w:pPr>
        <w:spacing w:after="0" w:line="12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5"/>
          <w:szCs w:val="15"/>
          <w:color w:val="3C3C3B"/>
        </w:rPr>
        <w:t>In accordance with IAS 38 - Intangible assets this amount was capitalized and allocated to Intangible assets. Further, given the nature of the intangible asset, it was determined to have a definite useful life of 20 years, consistent with patent lifetimes in the United States and the European Union. Amortization will start upon EMA/FDA regulatory approval and until then will be subject to an annual impairment test in accordance with IAS 36 - Impairment of Assets. The annual impairment test will be based on a valuation methodology including an income approach using discounted cash flow techniques for GNS561 in Cholangiocarcinoma.</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Indicators of impairment considered by the Group are as follows:</w:t>
      </w:r>
    </w:p>
    <w:p>
      <w:pPr>
        <w:spacing w:after="0" w:line="79" w:lineRule="exact"/>
        <w:rPr>
          <w:sz w:val="20"/>
          <w:szCs w:val="20"/>
          <w:color w:val="auto"/>
        </w:rPr>
      </w:pPr>
    </w:p>
    <w:p>
      <w:pPr>
        <w:ind w:left="500" w:hanging="240"/>
        <w:spacing w:after="0"/>
        <w:tabs>
          <w:tab w:leader="none" w:pos="500" w:val="left"/>
        </w:tabs>
        <w:numPr>
          <w:ilvl w:val="0"/>
          <w:numId w:val="51"/>
        </w:numPr>
        <w:rPr>
          <w:rFonts w:ascii="Arial" w:cs="Arial" w:eastAsia="Arial" w:hAnsi="Arial"/>
          <w:sz w:val="15"/>
          <w:szCs w:val="15"/>
          <w:color w:val="3C3C3B"/>
        </w:rPr>
      </w:pPr>
      <w:r>
        <w:rPr>
          <w:rFonts w:ascii="Arial" w:cs="Arial" w:eastAsia="Arial" w:hAnsi="Arial"/>
          <w:sz w:val="15"/>
          <w:szCs w:val="15"/>
          <w:color w:val="3C3C3B"/>
        </w:rPr>
        <w:t>Failure of or unfavorable data from our clinical trials</w:t>
      </w:r>
    </w:p>
    <w:p>
      <w:pPr>
        <w:spacing w:after="0" w:line="92" w:lineRule="exact"/>
        <w:rPr>
          <w:rFonts w:ascii="Arial" w:cs="Arial" w:eastAsia="Arial" w:hAnsi="Arial"/>
          <w:sz w:val="15"/>
          <w:szCs w:val="15"/>
          <w:color w:val="3C3C3B"/>
        </w:rPr>
      </w:pPr>
    </w:p>
    <w:p>
      <w:pPr>
        <w:ind w:left="500" w:hanging="240"/>
        <w:spacing w:after="0"/>
        <w:tabs>
          <w:tab w:leader="none" w:pos="500" w:val="left"/>
        </w:tabs>
        <w:numPr>
          <w:ilvl w:val="0"/>
          <w:numId w:val="51"/>
        </w:numPr>
        <w:rPr>
          <w:rFonts w:ascii="Arial" w:cs="Arial" w:eastAsia="Arial" w:hAnsi="Arial"/>
          <w:sz w:val="15"/>
          <w:szCs w:val="15"/>
          <w:color w:val="3C3C3B"/>
        </w:rPr>
      </w:pPr>
      <w:r>
        <w:rPr>
          <w:rFonts w:ascii="Arial" w:cs="Arial" w:eastAsia="Arial" w:hAnsi="Arial"/>
          <w:sz w:val="15"/>
          <w:szCs w:val="15"/>
          <w:color w:val="3C3C3B"/>
        </w:rPr>
        <w:t>Competition from other clinical trial programs covering the same indications as our drug candidates</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51"/>
        </w:numPr>
        <w:rPr>
          <w:rFonts w:ascii="Arial" w:cs="Arial" w:eastAsia="Arial" w:hAnsi="Arial"/>
          <w:sz w:val="15"/>
          <w:szCs w:val="15"/>
          <w:color w:val="3C3C3B"/>
        </w:rPr>
      </w:pPr>
      <w:r>
        <w:rPr>
          <w:rFonts w:ascii="Arial" w:cs="Arial" w:eastAsia="Arial" w:hAnsi="Arial"/>
          <w:sz w:val="15"/>
          <w:szCs w:val="15"/>
          <w:color w:val="3C3C3B"/>
        </w:rPr>
        <w:t>Availability of necessary financing</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 xml:space="preserve">The value of the asset is €2 million at </w:t>
      </w:r>
      <w:r>
        <w:rPr>
          <w:rFonts w:ascii="Arial" w:cs="Arial" w:eastAsia="Arial" w:hAnsi="Arial"/>
          <w:sz w:val="15"/>
          <w:szCs w:val="15"/>
          <w:color w:val="000000"/>
        </w:rPr>
        <w:t>June 30, 2025</w:t>
      </w:r>
      <w:r>
        <w:rPr>
          <w:rFonts w:ascii="Arial" w:cs="Arial" w:eastAsia="Arial" w:hAnsi="Arial"/>
          <w:sz w:val="15"/>
          <w:szCs w:val="15"/>
          <w:color w:val="3C3C3B"/>
        </w:rPr>
        <w:t>. In 2025, there has been no indication of impairment.</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3C3C3B"/>
        </w:rPr>
        <w:t>Seal Rock license agreement (2023)</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On May 31, 2023, GENFIT announced the signing of a licensing agreement for the exclusive worldwide rights to the injectable formulation of ASK1 inhibitor SRT-</w:t>
      </w:r>
    </w:p>
    <w:p>
      <w:pPr>
        <w:spacing w:after="0" w:line="14"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3C3C3B"/>
        </w:rPr>
        <w:t>015 in acute liver disease with Seal Rock Therapeutics, a clinical-stage company based in Seattle, USA. Under the terms of the agreement, GENFIT made an upfront payment in the amount of €2 million to Seal Rock in exchange for acquiring the know-how and rights of use to SRT-015.</w:t>
      </w:r>
    </w:p>
    <w:p>
      <w:pPr>
        <w:spacing w:after="0" w:line="137"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5"/>
          <w:szCs w:val="15"/>
          <w:color w:val="3C3C3B"/>
        </w:rPr>
        <w:t>In accordance with IAS 38 - Intangible assets this amount was capitalized and allocated to Intangible assets. Further, given the nature of the intangible asset, it was determined to have a definite useful life of 20 years, consistent with patent lifetimes in the United States and the European Union. Amortization will start upon EMA/FDA regulatory approval and until then will be subject to an annual impairment test in accordance with IAS 36 - Impairment of Assets. As future milestones for this agreement are paid, they will be analyzed and be either i) capitalized and subject to the same annual impairment test or ii) expensed as incurred. The annual impairment test will be based on a valuation methodology including an income approach using discounted cash flow techniques for the injectable formulation of ASK1 inhibitor SRT-015 in acute liver disease.</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Indicators of impairment considered by the Group are as follows:</w:t>
      </w:r>
    </w:p>
    <w:p>
      <w:pPr>
        <w:spacing w:after="0" w:line="79" w:lineRule="exact"/>
        <w:rPr>
          <w:sz w:val="20"/>
          <w:szCs w:val="20"/>
          <w:color w:val="auto"/>
        </w:rPr>
      </w:pPr>
    </w:p>
    <w:p>
      <w:pPr>
        <w:ind w:left="500" w:hanging="240"/>
        <w:spacing w:after="0"/>
        <w:tabs>
          <w:tab w:leader="none" w:pos="500" w:val="left"/>
        </w:tabs>
        <w:numPr>
          <w:ilvl w:val="0"/>
          <w:numId w:val="52"/>
        </w:numPr>
        <w:rPr>
          <w:rFonts w:ascii="Arial" w:cs="Arial" w:eastAsia="Arial" w:hAnsi="Arial"/>
          <w:sz w:val="15"/>
          <w:szCs w:val="15"/>
          <w:color w:val="3C3C3B"/>
        </w:rPr>
      </w:pPr>
      <w:r>
        <w:rPr>
          <w:rFonts w:ascii="Arial" w:cs="Arial" w:eastAsia="Arial" w:hAnsi="Arial"/>
          <w:sz w:val="15"/>
          <w:szCs w:val="15"/>
          <w:color w:val="3C3C3B"/>
        </w:rPr>
        <w:t>Failure of or unfavorable data from our clinical trials</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52"/>
        </w:numPr>
        <w:rPr>
          <w:rFonts w:ascii="Arial" w:cs="Arial" w:eastAsia="Arial" w:hAnsi="Arial"/>
          <w:sz w:val="15"/>
          <w:szCs w:val="15"/>
          <w:color w:val="3C3C3B"/>
        </w:rPr>
      </w:pPr>
      <w:r>
        <w:rPr>
          <w:rFonts w:ascii="Arial" w:cs="Arial" w:eastAsia="Arial" w:hAnsi="Arial"/>
          <w:sz w:val="15"/>
          <w:szCs w:val="15"/>
          <w:color w:val="3C3C3B"/>
        </w:rPr>
        <w:t>Competition from other clinical trial programs covering the same indications as our drug candidates</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52"/>
        </w:numPr>
        <w:rPr>
          <w:rFonts w:ascii="Arial" w:cs="Arial" w:eastAsia="Arial" w:hAnsi="Arial"/>
          <w:sz w:val="15"/>
          <w:szCs w:val="15"/>
          <w:color w:val="3C3C3B"/>
        </w:rPr>
      </w:pPr>
      <w:r>
        <w:rPr>
          <w:rFonts w:ascii="Arial" w:cs="Arial" w:eastAsia="Arial" w:hAnsi="Arial"/>
          <w:sz w:val="15"/>
          <w:szCs w:val="15"/>
          <w:color w:val="3C3C3B"/>
        </w:rPr>
        <w:t>Availability of necessary financing</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 xml:space="preserve">The value of the asset is €2 million at </w:t>
      </w:r>
      <w:r>
        <w:rPr>
          <w:rFonts w:ascii="Arial" w:cs="Arial" w:eastAsia="Arial" w:hAnsi="Arial"/>
          <w:sz w:val="15"/>
          <w:szCs w:val="15"/>
          <w:color w:val="000000"/>
        </w:rPr>
        <w:t>June 30, 2025</w:t>
      </w:r>
      <w:r>
        <w:rPr>
          <w:rFonts w:ascii="Arial" w:cs="Arial" w:eastAsia="Arial" w:hAnsi="Arial"/>
          <w:sz w:val="15"/>
          <w:szCs w:val="15"/>
          <w:color w:val="3C3C3B"/>
        </w:rPr>
        <w:t>. In 2025, there has been no indication of impairment.</w:t>
      </w:r>
    </w:p>
    <w:p>
      <w:pPr>
        <w:spacing w:after="0" w:line="335"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9"/>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31</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sectPr>
      </w:pPr>
    </w:p>
    <w:bookmarkStart w:id="37" w:name="page38"/>
    <w:bookmarkEnd w:id="37"/>
    <w:p>
      <w:pPr>
        <w:ind w:left="320"/>
        <w:spacing w:after="0"/>
        <w:rPr>
          <w:sz w:val="20"/>
          <w:szCs w:val="20"/>
          <w:color w:val="auto"/>
        </w:rPr>
      </w:pPr>
      <w:r>
        <w:rPr>
          <w:rFonts w:ascii="Arial" w:cs="Arial" w:eastAsia="Arial" w:hAnsi="Arial"/>
          <w:sz w:val="15"/>
          <w:szCs w:val="15"/>
          <w:u w:val="single" w:color="auto"/>
          <w:color w:val="3C3C3B"/>
        </w:rPr>
        <w:t>Versantis acquisition (VS-01) (2022)</w:t>
      </w:r>
    </w:p>
    <w:p>
      <w:pPr>
        <w:spacing w:after="0" w:line="18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3C3C3B"/>
        </w:rPr>
        <w:t>On September 29, 2022, GENFIT acquired Versantis AG, a private Swiss-based clinical stage biotechnology company focused on addressing the growing unmet medical needs in liver diseases. The Phase 2 ready program, VS-01-ACLF, a program in scavenging liposomes technology, was deemed to be the asset with substantially all attributable value in accordance with the optional concentration test of fair value under paragraph B7A of IFRS 3.</w:t>
      </w:r>
    </w:p>
    <w:p>
      <w:pPr>
        <w:spacing w:after="0" w:line="142"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5"/>
          <w:szCs w:val="15"/>
          <w:color w:val="3C3C3B"/>
        </w:rPr>
        <w:t>Of the total acquisition price paid of €46.6 million, €43.9 million was allocated to Intangible assets. The difference between that amount and the acquisition price corresponds to the other assets acquired and liabilities assumed as part of the transaction. Further, given the nature of the intangible asset, it was determined to have a definite useful life of 20 years, consistent with patents lifetimes in the United States and the European Union. Amortization will start upon EMA/FDA regulatory approval and until then will be subject to an annual impairment test in accordance with IAS 38 - Intangible Assets.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Indicators of impairment considered by the Group are as follows:</w:t>
      </w:r>
    </w:p>
    <w:p>
      <w:pPr>
        <w:spacing w:after="0" w:line="79" w:lineRule="exact"/>
        <w:rPr>
          <w:sz w:val="20"/>
          <w:szCs w:val="20"/>
          <w:color w:val="auto"/>
        </w:rPr>
      </w:pPr>
    </w:p>
    <w:p>
      <w:pPr>
        <w:ind w:left="500" w:hanging="240"/>
        <w:spacing w:after="0"/>
        <w:tabs>
          <w:tab w:leader="none" w:pos="500" w:val="left"/>
        </w:tabs>
        <w:numPr>
          <w:ilvl w:val="0"/>
          <w:numId w:val="53"/>
        </w:numPr>
        <w:rPr>
          <w:rFonts w:ascii="Arial" w:cs="Arial" w:eastAsia="Arial" w:hAnsi="Arial"/>
          <w:sz w:val="15"/>
          <w:szCs w:val="15"/>
          <w:color w:val="3C3C3B"/>
        </w:rPr>
      </w:pPr>
      <w:r>
        <w:rPr>
          <w:rFonts w:ascii="Arial" w:cs="Arial" w:eastAsia="Arial" w:hAnsi="Arial"/>
          <w:sz w:val="15"/>
          <w:szCs w:val="15"/>
          <w:color w:val="3C3C3B"/>
        </w:rPr>
        <w:t>Failure of or unfavorable data from our clinical trials</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53"/>
        </w:numPr>
        <w:rPr>
          <w:rFonts w:ascii="Arial" w:cs="Arial" w:eastAsia="Arial" w:hAnsi="Arial"/>
          <w:sz w:val="15"/>
          <w:szCs w:val="15"/>
          <w:color w:val="3C3C3B"/>
        </w:rPr>
      </w:pPr>
      <w:r>
        <w:rPr>
          <w:rFonts w:ascii="Arial" w:cs="Arial" w:eastAsia="Arial" w:hAnsi="Arial"/>
          <w:sz w:val="15"/>
          <w:szCs w:val="15"/>
          <w:color w:val="3C3C3B"/>
        </w:rPr>
        <w:t>Competition from other clinical trial programs covering the same indications as our drug candidates</w:t>
      </w:r>
    </w:p>
    <w:p>
      <w:pPr>
        <w:spacing w:after="0" w:line="92" w:lineRule="exact"/>
        <w:rPr>
          <w:rFonts w:ascii="Arial" w:cs="Arial" w:eastAsia="Arial" w:hAnsi="Arial"/>
          <w:sz w:val="15"/>
          <w:szCs w:val="15"/>
          <w:color w:val="3C3C3B"/>
        </w:rPr>
      </w:pPr>
    </w:p>
    <w:p>
      <w:pPr>
        <w:ind w:left="500" w:hanging="240"/>
        <w:spacing w:after="0"/>
        <w:tabs>
          <w:tab w:leader="none" w:pos="500" w:val="left"/>
        </w:tabs>
        <w:numPr>
          <w:ilvl w:val="0"/>
          <w:numId w:val="53"/>
        </w:numPr>
        <w:rPr>
          <w:rFonts w:ascii="Arial" w:cs="Arial" w:eastAsia="Arial" w:hAnsi="Arial"/>
          <w:sz w:val="15"/>
          <w:szCs w:val="15"/>
          <w:color w:val="3C3C3B"/>
        </w:rPr>
      </w:pPr>
      <w:r>
        <w:rPr>
          <w:rFonts w:ascii="Arial" w:cs="Arial" w:eastAsia="Arial" w:hAnsi="Arial"/>
          <w:sz w:val="15"/>
          <w:szCs w:val="15"/>
          <w:color w:val="3C3C3B"/>
        </w:rPr>
        <w:t>Availability of necessary financing</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 xml:space="preserve">The value of the asset is €45.8 million (after CHF/EUR currency translation adjustments) at </w:t>
      </w:r>
      <w:r>
        <w:rPr>
          <w:rFonts w:ascii="Arial" w:cs="Arial" w:eastAsia="Arial" w:hAnsi="Arial"/>
          <w:sz w:val="15"/>
          <w:szCs w:val="15"/>
          <w:color w:val="000000"/>
        </w:rPr>
        <w:t>June 30, 2025</w:t>
      </w:r>
      <w:r>
        <w:rPr>
          <w:rFonts w:ascii="Arial" w:cs="Arial" w:eastAsia="Arial" w:hAnsi="Arial"/>
          <w:sz w:val="15"/>
          <w:szCs w:val="15"/>
          <w:color w:val="3C3C3B"/>
        </w:rPr>
        <w:t>. In 2025, there has been no indication of impairment.</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3C3C3B"/>
        </w:rPr>
        <w:t>Adverse event related to the Versantis VS-01 intangible</w:t>
      </w:r>
    </w:p>
    <w:p>
      <w:pPr>
        <w:spacing w:after="0" w:line="185"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5"/>
          <w:szCs w:val="15"/>
          <w:color w:val="3C3C3B"/>
        </w:rPr>
        <w:t xml:space="preserve">On September 19, 2025, GENFIT announced its decision to discontinue its VS-01 program in ACLF (Acute-on-Chronic Liver Failure), and reprioritize its development on UCD (Urea Cycle Disorder). In accordance with IAS 10, this is considered on a non-adjusting event as this is a situation arising entirely after the reporting period. Refer to </w:t>
      </w:r>
      <w:r>
        <w:rPr>
          <w:rFonts w:ascii="Arial" w:cs="Arial" w:eastAsia="Arial" w:hAnsi="Arial"/>
          <w:sz w:val="15"/>
          <w:szCs w:val="15"/>
          <w:u w:val="single" w:color="auto"/>
          <w:color w:val="0000FF"/>
        </w:rPr>
        <w:t>Note 2.2 - Events after the period</w:t>
      </w:r>
      <w:r>
        <w:rPr>
          <w:rFonts w:ascii="Arial" w:cs="Arial" w:eastAsia="Arial" w:hAnsi="Arial"/>
          <w:sz w:val="15"/>
          <w:szCs w:val="15"/>
          <w:color w:val="3C3C3B"/>
        </w:rPr>
        <w:t>.</w:t>
      </w:r>
    </w:p>
    <w:p>
      <w:pPr>
        <w:spacing w:after="0" w:line="374"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Goodwill</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company does not have any goodwill.</w:t>
      </w:r>
    </w:p>
    <w:p>
      <w:pPr>
        <w:spacing w:after="0" w:line="281" w:lineRule="exact"/>
        <w:rPr>
          <w:sz w:val="20"/>
          <w:szCs w:val="20"/>
          <w:color w:val="auto"/>
        </w:rPr>
      </w:pPr>
    </w:p>
    <w:p>
      <w:pPr>
        <w:ind w:left="500" w:hanging="494"/>
        <w:spacing w:after="0"/>
        <w:tabs>
          <w:tab w:leader="none" w:pos="500" w:val="left"/>
        </w:tabs>
        <w:numPr>
          <w:ilvl w:val="0"/>
          <w:numId w:val="54"/>
        </w:numPr>
        <w:rPr>
          <w:rFonts w:ascii="Arial" w:cs="Arial" w:eastAsia="Arial" w:hAnsi="Arial"/>
          <w:sz w:val="16"/>
          <w:szCs w:val="16"/>
          <w:b w:val="1"/>
          <w:bCs w:val="1"/>
          <w:color w:val="E99D25"/>
        </w:rPr>
      </w:pPr>
      <w:r>
        <w:rPr>
          <w:rFonts w:ascii="Arial" w:cs="Arial" w:eastAsia="Arial" w:hAnsi="Arial"/>
          <w:sz w:val="16"/>
          <w:szCs w:val="16"/>
          <w:b w:val="1"/>
          <w:bCs w:val="1"/>
          <w:color w:val="E99D25"/>
        </w:rPr>
        <w:t>OTHER NON-CURRENT FINANCIAL ASSETS</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Other financial assets consisted of the following:</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80" w:type="dxa"/>
            <w:vAlign w:val="bottom"/>
          </w:tcPr>
          <w:p>
            <w:pPr>
              <w:ind w:left="20"/>
              <w:spacing w:after="0"/>
              <w:rPr>
                <w:sz w:val="20"/>
                <w:szCs w:val="20"/>
                <w:color w:val="auto"/>
              </w:rPr>
            </w:pPr>
            <w:r>
              <w:rPr>
                <w:rFonts w:ascii="Arial" w:cs="Arial" w:eastAsia="Arial" w:hAnsi="Arial"/>
                <w:sz w:val="12"/>
                <w:szCs w:val="12"/>
                <w:b w:val="1"/>
                <w:bCs w:val="1"/>
                <w:color w:val="3C3C3B"/>
              </w:rPr>
              <w:t>Financial assets - Variations</w:t>
            </w:r>
          </w:p>
        </w:tc>
        <w:tc>
          <w:tcPr>
            <w:tcW w:w="2820" w:type="dxa"/>
            <w:vAlign w:val="bottom"/>
          </w:tcPr>
          <w:p>
            <w:pPr>
              <w:jc w:val="right"/>
              <w:ind w:right="918"/>
              <w:spacing w:after="0"/>
              <w:rPr>
                <w:sz w:val="20"/>
                <w:szCs w:val="20"/>
                <w:color w:val="auto"/>
              </w:rPr>
            </w:pPr>
            <w:r>
              <w:rPr>
                <w:rFonts w:ascii="Arial" w:cs="Arial" w:eastAsia="Arial" w:hAnsi="Arial"/>
                <w:sz w:val="12"/>
                <w:szCs w:val="12"/>
                <w:b w:val="1"/>
                <w:bCs w:val="1"/>
                <w:color w:val="auto"/>
              </w:rPr>
              <w:t>As of</w:t>
            </w:r>
          </w:p>
        </w:tc>
        <w:tc>
          <w:tcPr>
            <w:tcW w:w="1660" w:type="dxa"/>
            <w:vAlign w:val="bottom"/>
          </w:tcPr>
          <w:p>
            <w:pPr>
              <w:jc w:val="right"/>
              <w:ind w:right="778"/>
              <w:spacing w:after="0"/>
              <w:rPr>
                <w:sz w:val="20"/>
                <w:szCs w:val="20"/>
                <w:color w:val="auto"/>
              </w:rPr>
            </w:pPr>
            <w:r>
              <w:rPr>
                <w:rFonts w:ascii="Arial" w:cs="Arial" w:eastAsia="Arial" w:hAnsi="Arial"/>
                <w:sz w:val="12"/>
                <w:szCs w:val="12"/>
                <w:b w:val="1"/>
                <w:bCs w:val="1"/>
                <w:color w:val="auto"/>
              </w:rPr>
              <w:t>Increase</w:t>
            </w:r>
          </w:p>
        </w:tc>
        <w:tc>
          <w:tcPr>
            <w:tcW w:w="1800" w:type="dxa"/>
            <w:vAlign w:val="bottom"/>
          </w:tcPr>
          <w:p>
            <w:pPr>
              <w:jc w:val="right"/>
              <w:ind w:right="838"/>
              <w:spacing w:after="0"/>
              <w:rPr>
                <w:sz w:val="20"/>
                <w:szCs w:val="20"/>
                <w:color w:val="auto"/>
              </w:rPr>
            </w:pPr>
            <w:r>
              <w:rPr>
                <w:rFonts w:ascii="Arial" w:cs="Arial" w:eastAsia="Arial" w:hAnsi="Arial"/>
                <w:sz w:val="12"/>
                <w:szCs w:val="12"/>
                <w:b w:val="1"/>
                <w:bCs w:val="1"/>
                <w:color w:val="auto"/>
              </w:rPr>
              <w:t>Decrease</w:t>
            </w:r>
          </w:p>
        </w:tc>
        <w:tc>
          <w:tcPr>
            <w:tcW w:w="1360" w:type="dxa"/>
            <w:vAlign w:val="bottom"/>
          </w:tcPr>
          <w:p>
            <w:pPr>
              <w:jc w:val="right"/>
              <w:ind w:right="598"/>
              <w:spacing w:after="0"/>
              <w:rPr>
                <w:sz w:val="20"/>
                <w:szCs w:val="20"/>
                <w:color w:val="auto"/>
              </w:rPr>
            </w:pPr>
            <w:r>
              <w:rPr>
                <w:rFonts w:ascii="Arial" w:cs="Arial" w:eastAsia="Arial" w:hAnsi="Arial"/>
                <w:sz w:val="12"/>
                <w:szCs w:val="12"/>
                <w:b w:val="1"/>
                <w:bCs w:val="1"/>
                <w:color w:val="auto"/>
              </w:rPr>
              <w:t>As of</w:t>
            </w:r>
          </w:p>
        </w:tc>
      </w:tr>
      <w:tr>
        <w:trPr>
          <w:trHeight w:val="199"/>
        </w:trPr>
        <w:tc>
          <w:tcPr>
            <w:tcW w:w="358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2820" w:type="dxa"/>
            <w:vAlign w:val="bottom"/>
          </w:tcPr>
          <w:p>
            <w:pPr>
              <w:jc w:val="right"/>
              <w:ind w:right="278"/>
              <w:spacing w:after="0"/>
              <w:rPr>
                <w:sz w:val="20"/>
                <w:szCs w:val="20"/>
                <w:color w:val="auto"/>
              </w:rPr>
            </w:pPr>
            <w:r>
              <w:rPr>
                <w:rFonts w:ascii="Arial" w:cs="Arial" w:eastAsia="Arial" w:hAnsi="Arial"/>
                <w:sz w:val="12"/>
                <w:szCs w:val="12"/>
                <w:b w:val="1"/>
                <w:bCs w:val="1"/>
                <w:color w:val="3C3C3B"/>
              </w:rPr>
              <w:t>2024/12/31</w:t>
            </w:r>
          </w:p>
        </w:tc>
        <w:tc>
          <w:tcPr>
            <w:tcW w:w="16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2"/>
        </w:trPr>
        <w:tc>
          <w:tcPr>
            <w:tcW w:w="3580" w:type="dxa"/>
            <w:vAlign w:val="bottom"/>
            <w:tcBorders>
              <w:bottom w:val="single" w:sz="8" w:color="FDF6EA"/>
            </w:tcBorders>
            <w:shd w:val="clear" w:color="auto" w:fill="FDF6EA"/>
          </w:tcPr>
          <w:p>
            <w:pPr>
              <w:ind w:left="20"/>
              <w:spacing w:after="0"/>
              <w:rPr>
                <w:sz w:val="20"/>
                <w:szCs w:val="20"/>
                <w:color w:val="auto"/>
              </w:rPr>
            </w:pPr>
            <w:r>
              <w:rPr>
                <w:rFonts w:ascii="Arial" w:cs="Arial" w:eastAsia="Arial" w:hAnsi="Arial"/>
                <w:sz w:val="12"/>
                <w:szCs w:val="12"/>
                <w:color w:val="3C3C3B"/>
              </w:rPr>
              <w:t>Non consolidated equity investments</w:t>
            </w:r>
          </w:p>
        </w:tc>
        <w:tc>
          <w:tcPr>
            <w:tcW w:w="2820" w:type="dxa"/>
            <w:vAlign w:val="bottom"/>
            <w:tcBorders>
              <w:bottom w:val="single" w:sz="8" w:color="FDF6EA"/>
            </w:tcBorders>
            <w:shd w:val="clear" w:color="auto" w:fill="FDF6EA"/>
          </w:tcPr>
          <w:p>
            <w:pPr>
              <w:jc w:val="right"/>
              <w:ind w:right="318"/>
              <w:spacing w:after="0"/>
              <w:rPr>
                <w:sz w:val="20"/>
                <w:szCs w:val="20"/>
                <w:color w:val="auto"/>
              </w:rPr>
            </w:pPr>
            <w:r>
              <w:rPr>
                <w:rFonts w:ascii="Arial" w:cs="Arial" w:eastAsia="Arial" w:hAnsi="Arial"/>
                <w:sz w:val="12"/>
                <w:szCs w:val="12"/>
                <w:color w:val="auto"/>
              </w:rPr>
              <w:t>1,425</w:t>
            </w:r>
          </w:p>
        </w:tc>
        <w:tc>
          <w:tcPr>
            <w:tcW w:w="1660" w:type="dxa"/>
            <w:vAlign w:val="bottom"/>
            <w:tcBorders>
              <w:bottom w:val="single" w:sz="8" w:color="FDF6EA"/>
            </w:tcBorders>
            <w:shd w:val="clear" w:color="auto" w:fill="FDF6EA"/>
          </w:tcPr>
          <w:p>
            <w:pPr>
              <w:jc w:val="right"/>
              <w:ind w:right="278"/>
              <w:spacing w:after="0"/>
              <w:rPr>
                <w:sz w:val="20"/>
                <w:szCs w:val="20"/>
                <w:color w:val="auto"/>
              </w:rPr>
            </w:pPr>
            <w:r>
              <w:rPr>
                <w:rFonts w:ascii="Arial" w:cs="Arial" w:eastAsia="Arial" w:hAnsi="Arial"/>
                <w:sz w:val="12"/>
                <w:szCs w:val="12"/>
                <w:color w:val="auto"/>
              </w:rPr>
              <w:t>—</w:t>
            </w:r>
          </w:p>
        </w:tc>
        <w:tc>
          <w:tcPr>
            <w:tcW w:w="1800" w:type="dxa"/>
            <w:vAlign w:val="bottom"/>
            <w:tcBorders>
              <w:bottom w:val="single" w:sz="8" w:color="FDF6EA"/>
            </w:tcBorders>
            <w:shd w:val="clear" w:color="auto" w:fill="FDF6EA"/>
          </w:tcPr>
          <w:p>
            <w:pPr>
              <w:jc w:val="right"/>
              <w:ind w:right="318"/>
              <w:spacing w:after="0"/>
              <w:rPr>
                <w:sz w:val="20"/>
                <w:szCs w:val="20"/>
                <w:color w:val="auto"/>
              </w:rPr>
            </w:pPr>
            <w:r>
              <w:rPr>
                <w:rFonts w:ascii="Arial" w:cs="Arial" w:eastAsia="Arial" w:hAnsi="Arial"/>
                <w:sz w:val="12"/>
                <w:szCs w:val="12"/>
                <w:color w:val="auto"/>
              </w:rPr>
              <w:t>(114)</w:t>
            </w:r>
          </w:p>
        </w:tc>
        <w:tc>
          <w:tcPr>
            <w:tcW w:w="1360" w:type="dxa"/>
            <w:vAlign w:val="bottom"/>
            <w:tcBorders>
              <w:bottom w:val="single" w:sz="8" w:color="FDF6EA"/>
            </w:tcBorders>
            <w:shd w:val="clear" w:color="auto" w:fill="FDF6EA"/>
          </w:tcPr>
          <w:p>
            <w:pPr>
              <w:jc w:val="right"/>
              <w:spacing w:after="0"/>
              <w:rPr>
                <w:sz w:val="20"/>
                <w:szCs w:val="20"/>
                <w:color w:val="auto"/>
              </w:rPr>
            </w:pPr>
            <w:r>
              <w:rPr>
                <w:rFonts w:ascii="Arial" w:cs="Arial" w:eastAsia="Arial" w:hAnsi="Arial"/>
                <w:sz w:val="12"/>
                <w:szCs w:val="12"/>
                <w:color w:val="auto"/>
              </w:rPr>
              <w:t>1,311</w:t>
            </w:r>
          </w:p>
        </w:tc>
      </w:tr>
      <w:tr>
        <w:trPr>
          <w:trHeight w:val="173"/>
        </w:trPr>
        <w:tc>
          <w:tcPr>
            <w:tcW w:w="3580" w:type="dxa"/>
            <w:vAlign w:val="bottom"/>
          </w:tcPr>
          <w:p>
            <w:pPr>
              <w:ind w:left="20"/>
              <w:spacing w:after="0"/>
              <w:rPr>
                <w:sz w:val="20"/>
                <w:szCs w:val="20"/>
                <w:color w:val="auto"/>
              </w:rPr>
            </w:pPr>
            <w:r>
              <w:rPr>
                <w:rFonts w:ascii="Arial" w:cs="Arial" w:eastAsia="Arial" w:hAnsi="Arial"/>
                <w:sz w:val="12"/>
                <w:szCs w:val="12"/>
                <w:color w:val="3C3C3B"/>
              </w:rPr>
              <w:t>Other investments</w:t>
            </w:r>
          </w:p>
        </w:tc>
        <w:tc>
          <w:tcPr>
            <w:tcW w:w="2820" w:type="dxa"/>
            <w:vAlign w:val="bottom"/>
          </w:tcPr>
          <w:p>
            <w:pPr>
              <w:jc w:val="right"/>
              <w:ind w:right="318"/>
              <w:spacing w:after="0"/>
              <w:rPr>
                <w:sz w:val="20"/>
                <w:szCs w:val="20"/>
                <w:color w:val="auto"/>
              </w:rPr>
            </w:pPr>
            <w:r>
              <w:rPr>
                <w:rFonts w:ascii="Arial" w:cs="Arial" w:eastAsia="Arial" w:hAnsi="Arial"/>
                <w:sz w:val="12"/>
                <w:szCs w:val="12"/>
                <w:color w:val="auto"/>
              </w:rPr>
              <w:t>459</w:t>
            </w:r>
          </w:p>
        </w:tc>
        <w:tc>
          <w:tcPr>
            <w:tcW w:w="16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1800" w:type="dxa"/>
            <w:vAlign w:val="bottom"/>
          </w:tcPr>
          <w:p>
            <w:pPr>
              <w:jc w:val="right"/>
              <w:ind w:right="318"/>
              <w:spacing w:after="0"/>
              <w:rPr>
                <w:sz w:val="20"/>
                <w:szCs w:val="20"/>
                <w:color w:val="auto"/>
              </w:rPr>
            </w:pPr>
            <w:r>
              <w:rPr>
                <w:rFonts w:ascii="Arial" w:cs="Arial" w:eastAsia="Arial" w:hAnsi="Arial"/>
                <w:sz w:val="12"/>
                <w:szCs w:val="12"/>
                <w:color w:val="auto"/>
              </w:rPr>
              <w:t>(63)</w:t>
            </w:r>
          </w:p>
        </w:tc>
        <w:tc>
          <w:tcPr>
            <w:tcW w:w="1360" w:type="dxa"/>
            <w:vAlign w:val="bottom"/>
          </w:tcPr>
          <w:p>
            <w:pPr>
              <w:jc w:val="right"/>
              <w:spacing w:after="0"/>
              <w:rPr>
                <w:sz w:val="20"/>
                <w:szCs w:val="20"/>
                <w:color w:val="auto"/>
              </w:rPr>
            </w:pPr>
            <w:r>
              <w:rPr>
                <w:rFonts w:ascii="Arial" w:cs="Arial" w:eastAsia="Arial" w:hAnsi="Arial"/>
                <w:sz w:val="12"/>
                <w:szCs w:val="12"/>
                <w:color w:val="auto"/>
              </w:rPr>
              <w:t>396</w:t>
            </w:r>
          </w:p>
        </w:tc>
      </w:tr>
      <w:tr>
        <w:trPr>
          <w:trHeight w:val="26"/>
        </w:trPr>
        <w:tc>
          <w:tcPr>
            <w:tcW w:w="35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79"/>
        </w:trPr>
        <w:tc>
          <w:tcPr>
            <w:tcW w:w="358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Loans</w:t>
            </w:r>
          </w:p>
        </w:tc>
        <w:tc>
          <w:tcPr>
            <w:tcW w:w="2820" w:type="dxa"/>
            <w:vAlign w:val="bottom"/>
            <w:tcBorders>
              <w:bottom w:val="single" w:sz="8" w:color="FDF5E7"/>
            </w:tcBorders>
            <w:shd w:val="clear" w:color="auto" w:fill="FDF5E7"/>
          </w:tcPr>
          <w:p>
            <w:pPr>
              <w:jc w:val="right"/>
              <w:ind w:right="318"/>
              <w:spacing w:after="0"/>
              <w:rPr>
                <w:sz w:val="20"/>
                <w:szCs w:val="20"/>
                <w:color w:val="auto"/>
              </w:rPr>
            </w:pPr>
            <w:r>
              <w:rPr>
                <w:rFonts w:ascii="Arial" w:cs="Arial" w:eastAsia="Arial" w:hAnsi="Arial"/>
                <w:sz w:val="12"/>
                <w:szCs w:val="12"/>
                <w:color w:val="auto"/>
              </w:rPr>
              <w:t>524</w:t>
            </w:r>
          </w:p>
        </w:tc>
        <w:tc>
          <w:tcPr>
            <w:tcW w:w="1660" w:type="dxa"/>
            <w:vAlign w:val="bottom"/>
            <w:tcBorders>
              <w:bottom w:val="single" w:sz="8" w:color="FDF5E7"/>
            </w:tcBorders>
            <w:shd w:val="clear" w:color="auto" w:fill="FDF5E7"/>
          </w:tcPr>
          <w:p>
            <w:pPr>
              <w:jc w:val="right"/>
              <w:ind w:right="278"/>
              <w:spacing w:after="0"/>
              <w:rPr>
                <w:sz w:val="20"/>
                <w:szCs w:val="20"/>
                <w:color w:val="auto"/>
              </w:rPr>
            </w:pPr>
            <w:r>
              <w:rPr>
                <w:rFonts w:ascii="Arial" w:cs="Arial" w:eastAsia="Arial" w:hAnsi="Arial"/>
                <w:sz w:val="12"/>
                <w:szCs w:val="12"/>
                <w:color w:val="auto"/>
              </w:rPr>
              <w:t>32</w:t>
            </w:r>
          </w:p>
        </w:tc>
        <w:tc>
          <w:tcPr>
            <w:tcW w:w="1800" w:type="dxa"/>
            <w:vAlign w:val="bottom"/>
            <w:tcBorders>
              <w:bottom w:val="single" w:sz="8" w:color="FDF5E7"/>
            </w:tcBorders>
            <w:shd w:val="clear" w:color="auto" w:fill="FDF5E7"/>
          </w:tcPr>
          <w:p>
            <w:pPr>
              <w:jc w:val="right"/>
              <w:ind w:right="358"/>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556</w:t>
            </w:r>
          </w:p>
        </w:tc>
      </w:tr>
      <w:tr>
        <w:trPr>
          <w:trHeight w:val="173"/>
        </w:trPr>
        <w:tc>
          <w:tcPr>
            <w:tcW w:w="3580" w:type="dxa"/>
            <w:vAlign w:val="bottom"/>
          </w:tcPr>
          <w:p>
            <w:pPr>
              <w:ind w:left="20"/>
              <w:spacing w:after="0"/>
              <w:rPr>
                <w:sz w:val="20"/>
                <w:szCs w:val="20"/>
                <w:color w:val="auto"/>
              </w:rPr>
            </w:pPr>
            <w:r>
              <w:rPr>
                <w:rFonts w:ascii="Arial" w:cs="Arial" w:eastAsia="Arial" w:hAnsi="Arial"/>
                <w:sz w:val="12"/>
                <w:szCs w:val="12"/>
                <w:color w:val="3C3C3B"/>
              </w:rPr>
              <w:t>Deposits and guarantees</w:t>
            </w:r>
          </w:p>
        </w:tc>
        <w:tc>
          <w:tcPr>
            <w:tcW w:w="2820" w:type="dxa"/>
            <w:vAlign w:val="bottom"/>
          </w:tcPr>
          <w:p>
            <w:pPr>
              <w:jc w:val="right"/>
              <w:ind w:right="318"/>
              <w:spacing w:after="0"/>
              <w:rPr>
                <w:sz w:val="20"/>
                <w:szCs w:val="20"/>
                <w:color w:val="auto"/>
              </w:rPr>
            </w:pPr>
            <w:r>
              <w:rPr>
                <w:rFonts w:ascii="Arial" w:cs="Arial" w:eastAsia="Arial" w:hAnsi="Arial"/>
                <w:sz w:val="12"/>
                <w:szCs w:val="12"/>
                <w:color w:val="auto"/>
              </w:rPr>
              <w:t>303</w:t>
            </w:r>
          </w:p>
        </w:tc>
        <w:tc>
          <w:tcPr>
            <w:tcW w:w="1660" w:type="dxa"/>
            <w:vAlign w:val="bottom"/>
          </w:tcPr>
          <w:p>
            <w:pPr>
              <w:jc w:val="right"/>
              <w:ind w:right="278"/>
              <w:spacing w:after="0"/>
              <w:rPr>
                <w:sz w:val="20"/>
                <w:szCs w:val="20"/>
                <w:color w:val="auto"/>
              </w:rPr>
            </w:pPr>
            <w:r>
              <w:rPr>
                <w:rFonts w:ascii="Arial" w:cs="Arial" w:eastAsia="Arial" w:hAnsi="Arial"/>
                <w:sz w:val="12"/>
                <w:szCs w:val="12"/>
                <w:color w:val="auto"/>
              </w:rPr>
              <w:t>68</w:t>
            </w:r>
          </w:p>
        </w:tc>
        <w:tc>
          <w:tcPr>
            <w:tcW w:w="1800" w:type="dxa"/>
            <w:vAlign w:val="bottom"/>
          </w:tcPr>
          <w:p>
            <w:pPr>
              <w:jc w:val="right"/>
              <w:ind w:right="318"/>
              <w:spacing w:after="0"/>
              <w:rPr>
                <w:sz w:val="20"/>
                <w:szCs w:val="20"/>
                <w:color w:val="auto"/>
              </w:rPr>
            </w:pPr>
            <w:r>
              <w:rPr>
                <w:rFonts w:ascii="Arial" w:cs="Arial" w:eastAsia="Arial" w:hAnsi="Arial"/>
                <w:sz w:val="12"/>
                <w:szCs w:val="12"/>
                <w:color w:val="auto"/>
              </w:rPr>
              <w:t>(30)</w:t>
            </w:r>
          </w:p>
        </w:tc>
        <w:tc>
          <w:tcPr>
            <w:tcW w:w="1360" w:type="dxa"/>
            <w:vAlign w:val="bottom"/>
          </w:tcPr>
          <w:p>
            <w:pPr>
              <w:jc w:val="right"/>
              <w:spacing w:after="0"/>
              <w:rPr>
                <w:sz w:val="20"/>
                <w:szCs w:val="20"/>
                <w:color w:val="auto"/>
              </w:rPr>
            </w:pPr>
            <w:r>
              <w:rPr>
                <w:rFonts w:ascii="Arial" w:cs="Arial" w:eastAsia="Arial" w:hAnsi="Arial"/>
                <w:sz w:val="12"/>
                <w:szCs w:val="12"/>
                <w:color w:val="auto"/>
              </w:rPr>
              <w:t>341</w:t>
            </w:r>
          </w:p>
        </w:tc>
      </w:tr>
      <w:tr>
        <w:trPr>
          <w:trHeight w:val="26"/>
        </w:trPr>
        <w:tc>
          <w:tcPr>
            <w:tcW w:w="35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4"/>
        </w:trPr>
        <w:tc>
          <w:tcPr>
            <w:tcW w:w="358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Liquidity contract</w:t>
            </w:r>
          </w:p>
        </w:tc>
        <w:tc>
          <w:tcPr>
            <w:tcW w:w="2820" w:type="dxa"/>
            <w:vAlign w:val="bottom"/>
            <w:tcBorders>
              <w:bottom w:val="single" w:sz="8" w:color="FDF5E7"/>
            </w:tcBorders>
            <w:shd w:val="clear" w:color="auto" w:fill="FDF5E7"/>
          </w:tcPr>
          <w:p>
            <w:pPr>
              <w:jc w:val="right"/>
              <w:ind w:right="318"/>
              <w:spacing w:after="0"/>
              <w:rPr>
                <w:sz w:val="20"/>
                <w:szCs w:val="20"/>
                <w:color w:val="auto"/>
              </w:rPr>
            </w:pPr>
            <w:r>
              <w:rPr>
                <w:rFonts w:ascii="Arial" w:cs="Arial" w:eastAsia="Arial" w:hAnsi="Arial"/>
                <w:sz w:val="12"/>
                <w:szCs w:val="12"/>
                <w:color w:val="auto"/>
              </w:rPr>
              <w:t>354</w:t>
            </w:r>
          </w:p>
        </w:tc>
        <w:tc>
          <w:tcPr>
            <w:tcW w:w="1660" w:type="dxa"/>
            <w:vAlign w:val="bottom"/>
            <w:tcBorders>
              <w:bottom w:val="single" w:sz="8" w:color="FDF5E7"/>
            </w:tcBorders>
            <w:shd w:val="clear" w:color="auto" w:fill="FDF5E7"/>
          </w:tcPr>
          <w:p>
            <w:pPr>
              <w:jc w:val="right"/>
              <w:ind w:right="278"/>
              <w:spacing w:after="0"/>
              <w:rPr>
                <w:sz w:val="20"/>
                <w:szCs w:val="20"/>
                <w:color w:val="auto"/>
              </w:rPr>
            </w:pPr>
            <w:r>
              <w:rPr>
                <w:rFonts w:ascii="Arial" w:cs="Arial" w:eastAsia="Arial" w:hAnsi="Arial"/>
                <w:sz w:val="12"/>
                <w:szCs w:val="12"/>
                <w:color w:val="auto"/>
              </w:rPr>
              <w:t>45</w:t>
            </w:r>
          </w:p>
        </w:tc>
        <w:tc>
          <w:tcPr>
            <w:tcW w:w="1800" w:type="dxa"/>
            <w:vAlign w:val="bottom"/>
            <w:tcBorders>
              <w:bottom w:val="single" w:sz="8" w:color="FDF5E7"/>
            </w:tcBorders>
            <w:shd w:val="clear" w:color="auto" w:fill="FDF5E7"/>
          </w:tcPr>
          <w:p>
            <w:pPr>
              <w:jc w:val="right"/>
              <w:ind w:right="358"/>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398</w:t>
            </w:r>
          </w:p>
        </w:tc>
      </w:tr>
      <w:tr>
        <w:trPr>
          <w:trHeight w:val="172"/>
        </w:trPr>
        <w:tc>
          <w:tcPr>
            <w:tcW w:w="358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E79B3F"/>
              </w:rPr>
              <w:t>TOTAL</w:t>
            </w:r>
          </w:p>
        </w:tc>
        <w:tc>
          <w:tcPr>
            <w:tcW w:w="2820" w:type="dxa"/>
            <w:vAlign w:val="bottom"/>
            <w:tcBorders>
              <w:top w:val="single" w:sz="8" w:color="auto"/>
            </w:tcBorders>
          </w:tcPr>
          <w:p>
            <w:pPr>
              <w:jc w:val="right"/>
              <w:ind w:right="318"/>
              <w:spacing w:after="0"/>
              <w:rPr>
                <w:sz w:val="20"/>
                <w:szCs w:val="20"/>
                <w:color w:val="auto"/>
              </w:rPr>
            </w:pPr>
            <w:r>
              <w:rPr>
                <w:rFonts w:ascii="Arial" w:cs="Arial" w:eastAsia="Arial" w:hAnsi="Arial"/>
                <w:sz w:val="12"/>
                <w:szCs w:val="12"/>
                <w:b w:val="1"/>
                <w:bCs w:val="1"/>
                <w:color w:val="E79B3F"/>
              </w:rPr>
              <w:t>3,065</w:t>
            </w:r>
          </w:p>
        </w:tc>
        <w:tc>
          <w:tcPr>
            <w:tcW w:w="1660" w:type="dxa"/>
            <w:vAlign w:val="bottom"/>
            <w:tcBorders>
              <w:top w:val="single" w:sz="8" w:color="auto"/>
            </w:tcBorders>
          </w:tcPr>
          <w:p>
            <w:pPr>
              <w:jc w:val="right"/>
              <w:ind w:right="278"/>
              <w:spacing w:after="0"/>
              <w:rPr>
                <w:sz w:val="20"/>
                <w:szCs w:val="20"/>
                <w:color w:val="auto"/>
              </w:rPr>
            </w:pPr>
            <w:r>
              <w:rPr>
                <w:rFonts w:ascii="Arial" w:cs="Arial" w:eastAsia="Arial" w:hAnsi="Arial"/>
                <w:sz w:val="12"/>
                <w:szCs w:val="12"/>
                <w:b w:val="1"/>
                <w:bCs w:val="1"/>
                <w:color w:val="E79B3F"/>
              </w:rPr>
              <w:t>144</w:t>
            </w:r>
          </w:p>
        </w:tc>
        <w:tc>
          <w:tcPr>
            <w:tcW w:w="1800" w:type="dxa"/>
            <w:vAlign w:val="bottom"/>
            <w:tcBorders>
              <w:top w:val="single" w:sz="8" w:color="auto"/>
            </w:tcBorders>
          </w:tcPr>
          <w:p>
            <w:pPr>
              <w:jc w:val="right"/>
              <w:ind w:right="318"/>
              <w:spacing w:after="0"/>
              <w:rPr>
                <w:sz w:val="20"/>
                <w:szCs w:val="20"/>
                <w:color w:val="auto"/>
              </w:rPr>
            </w:pPr>
            <w:r>
              <w:rPr>
                <w:rFonts w:ascii="Arial" w:cs="Arial" w:eastAsia="Arial" w:hAnsi="Arial"/>
                <w:sz w:val="12"/>
                <w:szCs w:val="12"/>
                <w:b w:val="1"/>
                <w:bCs w:val="1"/>
                <w:color w:val="E79B3F"/>
              </w:rPr>
              <w:t>(207)</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E79B3F"/>
              </w:rPr>
              <w:t>3,002</w:t>
            </w: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Non-consolidated equity investments</w:t>
      </w:r>
    </w:p>
    <w:p>
      <w:pPr>
        <w:spacing w:after="0" w:line="18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3C3C3B"/>
        </w:rPr>
        <w:t>As of June 30, 2025, the value of "Non-consolidated equity investments" relates solely to our equity purchase in Genoscience Pharma. Since the transaction occurred, no shares have been sold. The gross value of the investment (and the initial transaction amount from 2021) totals €3,133. The net value of the investment (net of impairments) totals €1,311 as of June 30, 2025.</w:t>
      </w:r>
    </w:p>
    <w:p>
      <w:pPr>
        <w:spacing w:after="0" w:line="14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5"/>
          <w:szCs w:val="15"/>
          <w:color w:val="3C3C3B"/>
        </w:rPr>
        <w:t>We did not complete the equity purchase in Genoscience Pharma for trading purposes. Therefore, pursuant to IFRS 9 and IAS 36, we elected to classify the equity in Genoscience Pharma we acquired in December 2021 as equity instruments recognized at fair value through other comprehensive income (OCI).</w:t>
      </w:r>
    </w:p>
    <w:p>
      <w:pPr>
        <w:spacing w:after="0" w:line="13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5"/>
          <w:szCs w:val="15"/>
          <w:color w:val="3C3C3B"/>
        </w:rPr>
        <w:t>In accordance with IFRS 13, we updated our estimated of the fair value of our equity stake in Genoscience Pharma, which was based on a valuation methodology including a royalty based income approach using discounted cash flow techniques for the company's main scientific research programs. The aforementioned income method utilizes management’s estimates of future operating results, cash flows discounted using a weighted-average cost of capital that reflects market participant assumptions, and the expected success rate of each program.</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Based on our analysis performed as of June 30, 2025, a loss of €114 was recorded in OCI.</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period over which management has projected its cash flows spans through 2038. The drug price growth rate used to extrapolate cash flow projections is 1%.</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3C3C3B"/>
        </w:rPr>
        <w:t>Furthermore, we have performed the following sensitivity analyses in order to determine the change in value of the asset by modifying certain key assumptions.</w:t>
      </w:r>
    </w:p>
    <w:p>
      <w:pPr>
        <w:spacing w:after="0" w:line="321"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9"/>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32</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38" w:name="page39"/>
    <w:bookmarkEnd w:id="38"/>
    <w:p>
      <w:pPr>
        <w:ind w:left="320"/>
        <w:spacing w:after="0"/>
        <w:rPr>
          <w:sz w:val="20"/>
          <w:szCs w:val="20"/>
          <w:color w:val="auto"/>
        </w:rPr>
      </w:pPr>
      <w:r>
        <w:rPr>
          <w:rFonts w:ascii="Arial" w:cs="Arial" w:eastAsia="Arial" w:hAnsi="Arial"/>
          <w:sz w:val="15"/>
          <w:szCs w:val="15"/>
          <w:color w:val="3C3C3B"/>
        </w:rPr>
        <w:t>Values assigned to each key assumption</w:t>
      </w:r>
    </w:p>
    <w:p>
      <w:pPr>
        <w:spacing w:after="0" w:line="79" w:lineRule="exact"/>
        <w:rPr>
          <w:sz w:val="20"/>
          <w:szCs w:val="20"/>
          <w:color w:val="auto"/>
        </w:rPr>
      </w:pPr>
    </w:p>
    <w:p>
      <w:pPr>
        <w:ind w:left="500" w:hanging="240"/>
        <w:spacing w:after="0"/>
        <w:tabs>
          <w:tab w:leader="none" w:pos="500" w:val="left"/>
        </w:tabs>
        <w:numPr>
          <w:ilvl w:val="0"/>
          <w:numId w:val="55"/>
        </w:numPr>
        <w:rPr>
          <w:rFonts w:ascii="Arial" w:cs="Arial" w:eastAsia="Arial" w:hAnsi="Arial"/>
          <w:sz w:val="15"/>
          <w:szCs w:val="15"/>
          <w:color w:val="3C3C3B"/>
        </w:rPr>
      </w:pPr>
      <w:r>
        <w:rPr>
          <w:rFonts w:ascii="Arial" w:cs="Arial" w:eastAsia="Arial" w:hAnsi="Arial"/>
          <w:sz w:val="15"/>
          <w:szCs w:val="15"/>
          <w:color w:val="3C3C3B"/>
        </w:rPr>
        <w:t>Discount rate: 12.5%</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amount by which the asset would decrease if the weighted average cost of capital increased by 1%: €109</w:t>
      </w:r>
    </w:p>
    <w:p>
      <w:pPr>
        <w:spacing w:after="0" w:line="93" w:lineRule="exact"/>
        <w:rPr>
          <w:sz w:val="20"/>
          <w:szCs w:val="20"/>
          <w:color w:val="auto"/>
        </w:rPr>
      </w:pPr>
    </w:p>
    <w:p>
      <w:pPr>
        <w:ind w:left="500" w:hanging="240"/>
        <w:spacing w:after="0"/>
        <w:tabs>
          <w:tab w:leader="none" w:pos="500" w:val="left"/>
        </w:tabs>
        <w:numPr>
          <w:ilvl w:val="0"/>
          <w:numId w:val="56"/>
        </w:numPr>
        <w:rPr>
          <w:rFonts w:ascii="Arial" w:cs="Arial" w:eastAsia="Arial" w:hAnsi="Arial"/>
          <w:sz w:val="15"/>
          <w:szCs w:val="15"/>
          <w:color w:val="3C3C3B"/>
        </w:rPr>
      </w:pPr>
      <w:r>
        <w:rPr>
          <w:rFonts w:ascii="Arial" w:cs="Arial" w:eastAsia="Arial" w:hAnsi="Arial"/>
          <w:sz w:val="15"/>
          <w:szCs w:val="15"/>
          <w:color w:val="3C3C3B"/>
        </w:rPr>
        <w:t>Overall expected success rate: 14.5%</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amount by which the asset would decrease if the estimated overall success rate decreased by 1%: €85</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Indicators of impairment considered by the Group as part of the impairment test above are as follows:</w:t>
      </w:r>
    </w:p>
    <w:p>
      <w:pPr>
        <w:spacing w:after="0" w:line="93" w:lineRule="exact"/>
        <w:rPr>
          <w:sz w:val="20"/>
          <w:szCs w:val="20"/>
          <w:color w:val="auto"/>
        </w:rPr>
      </w:pPr>
    </w:p>
    <w:p>
      <w:pPr>
        <w:ind w:left="500" w:hanging="240"/>
        <w:spacing w:after="0"/>
        <w:tabs>
          <w:tab w:leader="none" w:pos="500" w:val="left"/>
        </w:tabs>
        <w:numPr>
          <w:ilvl w:val="0"/>
          <w:numId w:val="57"/>
        </w:numPr>
        <w:rPr>
          <w:rFonts w:ascii="Arial" w:cs="Arial" w:eastAsia="Arial" w:hAnsi="Arial"/>
          <w:sz w:val="15"/>
          <w:szCs w:val="15"/>
          <w:color w:val="3C3C3B"/>
        </w:rPr>
      </w:pPr>
      <w:r>
        <w:rPr>
          <w:rFonts w:ascii="Arial" w:cs="Arial" w:eastAsia="Arial" w:hAnsi="Arial"/>
          <w:sz w:val="15"/>
          <w:szCs w:val="15"/>
          <w:color w:val="3C3C3B"/>
        </w:rPr>
        <w:t>Failure of or unfavorable data from our clinical trials</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57"/>
        </w:numPr>
        <w:rPr>
          <w:rFonts w:ascii="Arial" w:cs="Arial" w:eastAsia="Arial" w:hAnsi="Arial"/>
          <w:sz w:val="15"/>
          <w:szCs w:val="15"/>
          <w:color w:val="3C3C3B"/>
        </w:rPr>
      </w:pPr>
      <w:r>
        <w:rPr>
          <w:rFonts w:ascii="Arial" w:cs="Arial" w:eastAsia="Arial" w:hAnsi="Arial"/>
          <w:sz w:val="15"/>
          <w:szCs w:val="15"/>
          <w:color w:val="3C3C3B"/>
        </w:rPr>
        <w:t>Competition from other clinical trial programs covering the same indications as our drug candidates</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57"/>
        </w:numPr>
        <w:rPr>
          <w:rFonts w:ascii="Arial" w:cs="Arial" w:eastAsia="Arial" w:hAnsi="Arial"/>
          <w:sz w:val="15"/>
          <w:szCs w:val="15"/>
          <w:color w:val="3C3C3B"/>
        </w:rPr>
      </w:pPr>
      <w:r>
        <w:rPr>
          <w:rFonts w:ascii="Arial" w:cs="Arial" w:eastAsia="Arial" w:hAnsi="Arial"/>
          <w:sz w:val="15"/>
          <w:szCs w:val="15"/>
          <w:color w:val="3C3C3B"/>
        </w:rPr>
        <w:t>Availability of necessary financing</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Other investments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As of June 30, 2025, the value of "Other investments" totaled €396. The balance relates solely relates to our investment in CAPTECH SANTE.</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Liquidity contract</w:t>
      </w:r>
    </w:p>
    <w:p>
      <w:pPr>
        <w:spacing w:after="0" w:line="18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3C3C3B"/>
        </w:rPr>
        <w:t>Consistent with customary practice in the French securities market, we entered into a liquidity agreement ("Contrat de Liquidité") with Crédit Industriel et Commercial S.A. ("CIC") in August 2013. The liquidity agreement was entered into in accordance with applicable laws and regulations in France. The liquidity agreement authorizes CIC to carry out market purchases and sales of our shares on Euronext Paris.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As of June 30, 2025, the liquidity account had a cash balance of €398, and as of December 31, 2024 a cash balance of €354.</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CIC holds the following number of GENFIT shares on behalf of the Company, recorded as a deduction in equity:</w:t>
      </w:r>
    </w:p>
    <w:p>
      <w:pPr>
        <w:spacing w:after="0" w:line="23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7840" w:type="dxa"/>
            <w:vAlign w:val="bottom"/>
          </w:tcPr>
          <w:p>
            <w:pPr>
              <w:ind w:left="20"/>
              <w:spacing w:after="0"/>
              <w:rPr>
                <w:sz w:val="20"/>
                <w:szCs w:val="20"/>
                <w:color w:val="auto"/>
              </w:rPr>
            </w:pPr>
            <w:r>
              <w:rPr>
                <w:rFonts w:ascii="Arial" w:cs="Arial" w:eastAsia="Arial" w:hAnsi="Arial"/>
                <w:sz w:val="12"/>
                <w:szCs w:val="12"/>
                <w:b w:val="1"/>
                <w:bCs w:val="1"/>
                <w:color w:val="3C3C3B"/>
              </w:rPr>
              <w:t>Financial assets - Current</w:t>
            </w:r>
          </w:p>
        </w:tc>
        <w:tc>
          <w:tcPr>
            <w:tcW w:w="2240" w:type="dxa"/>
            <w:vAlign w:val="bottom"/>
          </w:tcPr>
          <w:p>
            <w:pPr>
              <w:jc w:val="right"/>
              <w:ind w:right="358"/>
              <w:spacing w:after="0"/>
              <w:rPr>
                <w:sz w:val="20"/>
                <w:szCs w:val="20"/>
                <w:color w:val="auto"/>
              </w:rPr>
            </w:pPr>
            <w:r>
              <w:rPr>
                <w:rFonts w:ascii="Arial" w:cs="Arial" w:eastAsia="Arial" w:hAnsi="Arial"/>
                <w:sz w:val="12"/>
                <w:szCs w:val="12"/>
                <w:b w:val="1"/>
                <w:bCs w:val="1"/>
                <w:color w:val="3C3C3B"/>
              </w:rPr>
              <w:t>As of</w:t>
            </w:r>
          </w:p>
        </w:tc>
        <w:tc>
          <w:tcPr>
            <w:tcW w:w="1080" w:type="dxa"/>
            <w:vAlign w:val="bottom"/>
          </w:tcPr>
          <w:p>
            <w:pPr>
              <w:spacing w:after="0"/>
              <w:rPr>
                <w:sz w:val="14"/>
                <w:szCs w:val="14"/>
                <w:color w:val="auto"/>
              </w:rPr>
            </w:pPr>
          </w:p>
        </w:tc>
      </w:tr>
      <w:tr>
        <w:trPr>
          <w:trHeight w:val="20"/>
        </w:trPr>
        <w:tc>
          <w:tcPr>
            <w:tcW w:w="784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2"/>
        </w:trPr>
        <w:tc>
          <w:tcPr>
            <w:tcW w:w="7840" w:type="dxa"/>
            <w:vAlign w:val="bottom"/>
          </w:tcPr>
          <w:p>
            <w:pPr>
              <w:spacing w:after="0"/>
              <w:rPr>
                <w:sz w:val="14"/>
                <w:szCs w:val="14"/>
                <w:color w:val="auto"/>
              </w:rPr>
            </w:pPr>
          </w:p>
        </w:tc>
        <w:tc>
          <w:tcPr>
            <w:tcW w:w="2240" w:type="dxa"/>
            <w:vAlign w:val="bottom"/>
          </w:tcPr>
          <w:p>
            <w:pPr>
              <w:jc w:val="right"/>
              <w:ind w:right="578"/>
              <w:spacing w:after="0"/>
              <w:rPr>
                <w:sz w:val="20"/>
                <w:szCs w:val="20"/>
                <w:color w:val="auto"/>
              </w:rPr>
            </w:pPr>
            <w:r>
              <w:rPr>
                <w:rFonts w:ascii="Arial" w:cs="Arial" w:eastAsia="Arial" w:hAnsi="Arial"/>
                <w:sz w:val="12"/>
                <w:szCs w:val="12"/>
                <w:b w:val="1"/>
                <w:bCs w:val="1"/>
                <w:color w:val="3C3C3B"/>
              </w:rPr>
              <w:t>2024/12/31</w:t>
            </w:r>
          </w:p>
        </w:tc>
        <w:tc>
          <w:tcPr>
            <w:tcW w:w="108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2"/>
        </w:trPr>
        <w:tc>
          <w:tcPr>
            <w:tcW w:w="7840" w:type="dxa"/>
            <w:vAlign w:val="bottom"/>
          </w:tcPr>
          <w:p>
            <w:pPr>
              <w:ind w:left="20"/>
              <w:spacing w:after="0"/>
              <w:rPr>
                <w:sz w:val="20"/>
                <w:szCs w:val="20"/>
                <w:color w:val="auto"/>
              </w:rPr>
            </w:pPr>
            <w:r>
              <w:rPr>
                <w:rFonts w:ascii="Arial" w:cs="Arial" w:eastAsia="Arial" w:hAnsi="Arial"/>
                <w:sz w:val="12"/>
                <w:szCs w:val="12"/>
                <w:b w:val="1"/>
                <w:bCs w:val="1"/>
                <w:color w:val="E79B3F"/>
              </w:rPr>
              <w:t>Number of shares (recorded as a deduction from equity)</w:t>
            </w:r>
          </w:p>
        </w:tc>
        <w:tc>
          <w:tcPr>
            <w:tcW w:w="2240" w:type="dxa"/>
            <w:vAlign w:val="bottom"/>
          </w:tcPr>
          <w:p>
            <w:pPr>
              <w:jc w:val="right"/>
              <w:ind w:right="618"/>
              <w:spacing w:after="0"/>
              <w:rPr>
                <w:sz w:val="20"/>
                <w:szCs w:val="20"/>
                <w:color w:val="auto"/>
              </w:rPr>
            </w:pPr>
            <w:r>
              <w:rPr>
                <w:rFonts w:ascii="Arial" w:cs="Arial" w:eastAsia="Arial" w:hAnsi="Arial"/>
                <w:sz w:val="12"/>
                <w:szCs w:val="12"/>
                <w:b w:val="1"/>
                <w:bCs w:val="1"/>
                <w:color w:val="E79B3F"/>
              </w:rPr>
              <w:t>207,500</w:t>
            </w:r>
          </w:p>
        </w:tc>
        <w:tc>
          <w:tcPr>
            <w:tcW w:w="1080" w:type="dxa"/>
            <w:vAlign w:val="bottom"/>
          </w:tcPr>
          <w:p>
            <w:pPr>
              <w:jc w:val="right"/>
              <w:spacing w:after="0"/>
              <w:rPr>
                <w:sz w:val="20"/>
                <w:szCs w:val="20"/>
                <w:color w:val="auto"/>
              </w:rPr>
            </w:pPr>
            <w:r>
              <w:rPr>
                <w:rFonts w:ascii="Arial" w:cs="Arial" w:eastAsia="Arial" w:hAnsi="Arial"/>
                <w:sz w:val="12"/>
                <w:szCs w:val="12"/>
                <w:b w:val="1"/>
                <w:bCs w:val="1"/>
                <w:color w:val="E79B3F"/>
              </w:rPr>
              <w:t>201,100</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ind w:left="480" w:right="8620" w:hanging="474"/>
        <w:spacing w:after="0" w:line="633" w:lineRule="auto"/>
        <w:tabs>
          <w:tab w:leader="none" w:pos="502" w:val="left"/>
        </w:tabs>
        <w:numPr>
          <w:ilvl w:val="0"/>
          <w:numId w:val="58"/>
        </w:numPr>
        <w:rPr>
          <w:rFonts w:ascii="Arial" w:cs="Arial" w:eastAsia="Arial" w:hAnsi="Arial"/>
          <w:sz w:val="15"/>
          <w:szCs w:val="15"/>
          <w:b w:val="1"/>
          <w:bCs w:val="1"/>
          <w:color w:val="E99D25"/>
        </w:rPr>
      </w:pPr>
      <w:r>
        <w:rPr>
          <w:rFonts w:ascii="Arial" w:cs="Arial" w:eastAsia="Arial" w:hAnsi="Arial"/>
          <w:sz w:val="15"/>
          <w:szCs w:val="15"/>
          <w:b w:val="1"/>
          <w:bCs w:val="1"/>
          <w:color w:val="E99D25"/>
        </w:rPr>
        <w:t xml:space="preserve">LOANS AND BORROWINGS </w:t>
      </w:r>
      <w:r>
        <w:rPr>
          <w:rFonts w:ascii="Arial" w:cs="Arial" w:eastAsia="Arial" w:hAnsi="Arial"/>
          <w:sz w:val="15"/>
          <w:szCs w:val="15"/>
          <w:b w:val="1"/>
          <w:bCs w:val="1"/>
          <w:color w:val="000000"/>
        </w:rPr>
        <w:t>17.1 Royalty Financing</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Non-Dilutive Royalty Financing Agreement</w:t>
      </w:r>
    </w:p>
    <w:p>
      <w:pPr>
        <w:spacing w:after="0" w:line="265"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On January 30, 2025, GENFIT announced the signing of a royalty financing deal with HealthCare Royalty (HCRx) providing up to €185 million non-dilutive capital, including €130 million upfront, with eligibility to receive up to €55 million in two additional installments based on near-term milestones.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auto"/>
        </w:rPr>
        <w:t>Installments</w:t>
      </w:r>
    </w:p>
    <w:p>
      <w:pPr>
        <w:spacing w:after="0" w:line="18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3C3C3B"/>
        </w:rPr>
        <w:t>The royalty financing takes the form of an issuance by GENFIT of straight bonds to be subscribed by HCRx (the “Royalty Financing Bonds”), for an aggregate subscription price plus premium of up to €185 million (the “Subscription Price”, with a nominal value of €9.25 million). The Royalty Financing Bonds’ subscription price is arranged in up to three installments as follows:</w:t>
      </w:r>
    </w:p>
    <w:p>
      <w:pPr>
        <w:spacing w:after="0" w:line="36" w:lineRule="exact"/>
        <w:rPr>
          <w:sz w:val="20"/>
          <w:szCs w:val="20"/>
          <w:color w:val="auto"/>
        </w:rPr>
      </w:pPr>
    </w:p>
    <w:p>
      <w:pPr>
        <w:ind w:left="520" w:hanging="260"/>
        <w:spacing w:after="0" w:line="293" w:lineRule="auto"/>
        <w:tabs>
          <w:tab w:leader="none" w:pos="504" w:val="left"/>
        </w:tabs>
        <w:numPr>
          <w:ilvl w:val="0"/>
          <w:numId w:val="59"/>
        </w:numPr>
        <w:rPr>
          <w:rFonts w:ascii="Arial" w:cs="Arial" w:eastAsia="Arial" w:hAnsi="Arial"/>
          <w:sz w:val="15"/>
          <w:szCs w:val="15"/>
          <w:color w:val="3C3C3B"/>
        </w:rPr>
      </w:pPr>
      <w:r>
        <w:rPr>
          <w:rFonts w:ascii="Arial" w:cs="Arial" w:eastAsia="Arial" w:hAnsi="Arial"/>
          <w:sz w:val="15"/>
          <w:szCs w:val="15"/>
          <w:color w:val="3C3C3B"/>
        </w:rPr>
        <w:t>A first installment for a total subscription amount of €130 million, already issued on March 20, 2025 and received following i) approval of the OCEANEs bondholders at the bondholders meeting held on March 10, 2025 and ii) satisfaction of other customary closing conditions;</w:t>
      </w:r>
    </w:p>
    <w:p>
      <w:pPr>
        <w:spacing w:after="0" w:line="16" w:lineRule="exact"/>
        <w:rPr>
          <w:rFonts w:ascii="Arial" w:cs="Arial" w:eastAsia="Arial" w:hAnsi="Arial"/>
          <w:sz w:val="15"/>
          <w:szCs w:val="15"/>
          <w:color w:val="3C3C3B"/>
        </w:rPr>
      </w:pPr>
    </w:p>
    <w:p>
      <w:pPr>
        <w:ind w:left="520" w:hanging="260"/>
        <w:spacing w:after="0" w:line="293" w:lineRule="auto"/>
        <w:tabs>
          <w:tab w:leader="none" w:pos="504" w:val="left"/>
        </w:tabs>
        <w:numPr>
          <w:ilvl w:val="0"/>
          <w:numId w:val="59"/>
        </w:numPr>
        <w:rPr>
          <w:rFonts w:ascii="Arial" w:cs="Arial" w:eastAsia="Arial" w:hAnsi="Arial"/>
          <w:sz w:val="15"/>
          <w:szCs w:val="15"/>
          <w:color w:val="3C3C3B"/>
        </w:rPr>
      </w:pPr>
      <w:r>
        <w:rPr>
          <w:rFonts w:ascii="Arial" w:cs="Arial" w:eastAsia="Arial" w:hAnsi="Arial"/>
          <w:sz w:val="15"/>
          <w:szCs w:val="15"/>
          <w:color w:val="3C3C3B"/>
        </w:rPr>
        <w:t>A second installment for a total subscription amount of €30 million, subject to net sales of Iqirvo® (elafibranor) reaching a certain threshold by December 31, 2025; and</w:t>
      </w:r>
    </w:p>
    <w:p>
      <w:pPr>
        <w:spacing w:after="0" w:line="16" w:lineRule="exact"/>
        <w:rPr>
          <w:rFonts w:ascii="Arial" w:cs="Arial" w:eastAsia="Arial" w:hAnsi="Arial"/>
          <w:sz w:val="15"/>
          <w:szCs w:val="15"/>
          <w:color w:val="3C3C3B"/>
        </w:rPr>
      </w:pPr>
    </w:p>
    <w:p>
      <w:pPr>
        <w:ind w:left="500" w:hanging="240"/>
        <w:spacing w:after="0"/>
        <w:tabs>
          <w:tab w:leader="none" w:pos="500" w:val="left"/>
        </w:tabs>
        <w:numPr>
          <w:ilvl w:val="0"/>
          <w:numId w:val="59"/>
        </w:numPr>
        <w:rPr>
          <w:rFonts w:ascii="Arial" w:cs="Arial" w:eastAsia="Arial" w:hAnsi="Arial"/>
          <w:sz w:val="15"/>
          <w:szCs w:val="15"/>
          <w:color w:val="3C3C3B"/>
        </w:rPr>
      </w:pPr>
      <w:r>
        <w:rPr>
          <w:rFonts w:ascii="Arial" w:cs="Arial" w:eastAsia="Arial" w:hAnsi="Arial"/>
          <w:sz w:val="15"/>
          <w:szCs w:val="15"/>
          <w:color w:val="3C3C3B"/>
        </w:rPr>
        <w:t>A third installment for a total subscription amount of €25 million, subject to net sales of Iqirvo® (elafibranor) reaching a certain threshold by December 31, 2026.</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Payment of the second and third installments are at the option of GENFIT, provided the corresponding conditions are met.</w:t>
      </w:r>
    </w:p>
    <w:p>
      <w:pPr>
        <w:spacing w:after="0" w:line="322"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8"/>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33</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39" w:name="page40"/>
    <w:bookmarkEnd w:id="39"/>
    <w:p>
      <w:pPr>
        <w:ind w:left="320"/>
        <w:spacing w:after="0"/>
        <w:rPr>
          <w:sz w:val="20"/>
          <w:szCs w:val="20"/>
          <w:color w:val="auto"/>
        </w:rPr>
      </w:pPr>
      <w:r>
        <w:rPr>
          <w:rFonts w:ascii="Arial" w:cs="Arial" w:eastAsia="Arial" w:hAnsi="Arial"/>
          <w:sz w:val="15"/>
          <w:szCs w:val="15"/>
          <w:u w:val="single" w:color="auto"/>
          <w:color w:val="auto"/>
        </w:rPr>
        <w:t>Repayment terms / multiples</w:t>
      </w:r>
    </w:p>
    <w:p>
      <w:pPr>
        <w:spacing w:after="0" w:line="185" w:lineRule="exact"/>
        <w:rPr>
          <w:sz w:val="20"/>
          <w:szCs w:val="20"/>
          <w:color w:val="auto"/>
        </w:rPr>
      </w:pPr>
    </w:p>
    <w:p>
      <w:pPr>
        <w:ind w:firstLine="318"/>
        <w:spacing w:after="0" w:line="293" w:lineRule="auto"/>
        <w:rPr>
          <w:sz w:val="20"/>
          <w:szCs w:val="20"/>
          <w:color w:val="auto"/>
        </w:rPr>
      </w:pPr>
      <w:r>
        <w:rPr>
          <w:rFonts w:ascii="Arial" w:cs="Arial" w:eastAsia="Arial" w:hAnsi="Arial"/>
          <w:sz w:val="15"/>
          <w:szCs w:val="15"/>
          <w:color w:val="3C3C3B"/>
        </w:rPr>
        <w:t>The Royalty Financing Bonds issued by GENFIT will not bear interest. Instead, the returns on these bonds will be tied to a portion of the royalties GENFIT receives under the Ipsen agreement from October 1, 2024. This portion of the royalties is subject to the following multiples:</w:t>
      </w:r>
    </w:p>
    <w:p>
      <w:pPr>
        <w:spacing w:after="0" w:line="16" w:lineRule="exact"/>
        <w:rPr>
          <w:sz w:val="20"/>
          <w:szCs w:val="20"/>
          <w:color w:val="auto"/>
        </w:rPr>
      </w:pPr>
    </w:p>
    <w:p>
      <w:pPr>
        <w:jc w:val="both"/>
        <w:ind w:left="520" w:hanging="260"/>
        <w:spacing w:after="0" w:line="266" w:lineRule="auto"/>
        <w:tabs>
          <w:tab w:leader="none" w:pos="504" w:val="left"/>
        </w:tabs>
        <w:numPr>
          <w:ilvl w:val="0"/>
          <w:numId w:val="60"/>
        </w:numPr>
        <w:rPr>
          <w:rFonts w:ascii="Arial" w:cs="Arial" w:eastAsia="Arial" w:hAnsi="Arial"/>
          <w:sz w:val="15"/>
          <w:szCs w:val="15"/>
          <w:color w:val="3C3C3B"/>
        </w:rPr>
      </w:pPr>
      <w:r>
        <w:rPr>
          <w:rFonts w:ascii="Arial" w:cs="Arial" w:eastAsia="Arial" w:hAnsi="Arial"/>
          <w:sz w:val="15"/>
          <w:szCs w:val="15"/>
          <w:color w:val="3C3C3B"/>
        </w:rPr>
        <w:t>If, at December 31, 2030, the cumulated amount of royalties received by HCRx represents 155% of the Subscription Price of the Royalty Financing Bonds, excluding the nominal value (i.e., approximately €277.5 million if all installments of the Subscription Price are paid), it will no longer be entitled to the royalties, which will, from then on, fully revert to the Company.</w:t>
      </w:r>
    </w:p>
    <w:p>
      <w:pPr>
        <w:spacing w:after="0" w:line="35" w:lineRule="exact"/>
        <w:rPr>
          <w:rFonts w:ascii="Arial" w:cs="Arial" w:eastAsia="Arial" w:hAnsi="Arial"/>
          <w:sz w:val="15"/>
          <w:szCs w:val="15"/>
          <w:color w:val="3C3C3B"/>
        </w:rPr>
      </w:pPr>
    </w:p>
    <w:p>
      <w:pPr>
        <w:jc w:val="both"/>
        <w:ind w:left="520" w:hanging="260"/>
        <w:spacing w:after="0" w:line="275" w:lineRule="auto"/>
        <w:tabs>
          <w:tab w:leader="none" w:pos="504" w:val="left"/>
        </w:tabs>
        <w:numPr>
          <w:ilvl w:val="0"/>
          <w:numId w:val="60"/>
        </w:numPr>
        <w:rPr>
          <w:rFonts w:ascii="Arial" w:cs="Arial" w:eastAsia="Arial" w:hAnsi="Arial"/>
          <w:sz w:val="15"/>
          <w:szCs w:val="15"/>
          <w:color w:val="3C3C3B"/>
        </w:rPr>
      </w:pPr>
      <w:r>
        <w:rPr>
          <w:rFonts w:ascii="Arial" w:cs="Arial" w:eastAsia="Arial" w:hAnsi="Arial"/>
          <w:sz w:val="15"/>
          <w:szCs w:val="15"/>
          <w:color w:val="3C3C3B"/>
        </w:rPr>
        <w:t>If, at December 31, 2030, the cumulated amount of royalties received by HCRx represents less than this 155% return rate, it will continue to receive the royalties until the cumulated amount received represents 195% of the Subscription Price excluding the nominal value (i.e., up to a maximum of €351.5 million if all installments of the Subscription Price are paid).</w:t>
      </w:r>
    </w:p>
    <w:p>
      <w:pPr>
        <w:spacing w:after="0" w:line="29" w:lineRule="exact"/>
        <w:rPr>
          <w:rFonts w:ascii="Arial" w:cs="Arial" w:eastAsia="Arial" w:hAnsi="Arial"/>
          <w:sz w:val="15"/>
          <w:szCs w:val="15"/>
          <w:color w:val="3C3C3B"/>
        </w:rPr>
      </w:pPr>
    </w:p>
    <w:p>
      <w:pPr>
        <w:ind w:left="520" w:hanging="260"/>
        <w:spacing w:after="0" w:line="274" w:lineRule="auto"/>
        <w:tabs>
          <w:tab w:leader="none" w:pos="504" w:val="left"/>
        </w:tabs>
        <w:numPr>
          <w:ilvl w:val="0"/>
          <w:numId w:val="60"/>
        </w:numPr>
        <w:rPr>
          <w:rFonts w:ascii="Arial" w:cs="Arial" w:eastAsia="Arial" w:hAnsi="Arial"/>
          <w:sz w:val="15"/>
          <w:szCs w:val="15"/>
          <w:color w:val="3C3C3B"/>
        </w:rPr>
      </w:pPr>
      <w:r>
        <w:rPr>
          <w:rFonts w:ascii="Arial" w:cs="Arial" w:eastAsia="Arial" w:hAnsi="Arial"/>
          <w:sz w:val="15"/>
          <w:szCs w:val="15"/>
          <w:color w:val="3C3C3B"/>
        </w:rPr>
        <w:t>If, at December 31, 2033, this 195% return rate is not achieved, HCRx will continue to receive the royalties until the cumulated amount received equals 250% of the Subscription Price excluding the nominal value (i.e., up to a maximum of €453.25 million if all installments of the Subscription Price are paid).</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auto"/>
        </w:rPr>
        <w:t>Caps and time-limits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This portion of the royalties is subject to the following caps and time-limits:</w:t>
      </w:r>
    </w:p>
    <w:p>
      <w:pPr>
        <w:spacing w:after="0" w:line="79" w:lineRule="exact"/>
        <w:rPr>
          <w:sz w:val="20"/>
          <w:szCs w:val="20"/>
          <w:color w:val="auto"/>
        </w:rPr>
      </w:pPr>
    </w:p>
    <w:p>
      <w:pPr>
        <w:ind w:left="520" w:hanging="260"/>
        <w:spacing w:after="0" w:line="293" w:lineRule="auto"/>
        <w:tabs>
          <w:tab w:leader="none" w:pos="504" w:val="left"/>
        </w:tabs>
        <w:numPr>
          <w:ilvl w:val="0"/>
          <w:numId w:val="61"/>
        </w:numPr>
        <w:rPr>
          <w:rFonts w:ascii="Arial" w:cs="Arial" w:eastAsia="Arial" w:hAnsi="Arial"/>
          <w:sz w:val="15"/>
          <w:szCs w:val="15"/>
          <w:color w:val="3C3C3B"/>
        </w:rPr>
      </w:pPr>
      <w:r>
        <w:rPr>
          <w:rFonts w:ascii="Arial" w:cs="Arial" w:eastAsia="Arial" w:hAnsi="Arial"/>
          <w:sz w:val="15"/>
          <w:szCs w:val="15"/>
          <w:color w:val="3C3C3B"/>
        </w:rPr>
        <w:t>An annual cap equal to the amount of royalties based on an annual maximum amount of net sales of $600 million. The Company will receive 100% of the royalties based on the annual net sales exceeding this maximum.</w:t>
      </w:r>
    </w:p>
    <w:p>
      <w:pPr>
        <w:spacing w:after="0" w:line="16" w:lineRule="exact"/>
        <w:rPr>
          <w:rFonts w:ascii="Arial" w:cs="Arial" w:eastAsia="Arial" w:hAnsi="Arial"/>
          <w:sz w:val="15"/>
          <w:szCs w:val="15"/>
          <w:color w:val="3C3C3B"/>
        </w:rPr>
      </w:pPr>
    </w:p>
    <w:p>
      <w:pPr>
        <w:ind w:left="520" w:hanging="260"/>
        <w:spacing w:after="0" w:line="293" w:lineRule="auto"/>
        <w:tabs>
          <w:tab w:leader="none" w:pos="504" w:val="left"/>
        </w:tabs>
        <w:numPr>
          <w:ilvl w:val="0"/>
          <w:numId w:val="61"/>
        </w:numPr>
        <w:rPr>
          <w:rFonts w:ascii="Arial" w:cs="Arial" w:eastAsia="Arial" w:hAnsi="Arial"/>
          <w:sz w:val="15"/>
          <w:szCs w:val="15"/>
          <w:color w:val="3C3C3B"/>
        </w:rPr>
      </w:pPr>
      <w:r>
        <w:rPr>
          <w:rFonts w:ascii="Arial" w:cs="Arial" w:eastAsia="Arial" w:hAnsi="Arial"/>
          <w:sz w:val="15"/>
          <w:szCs w:val="15"/>
          <w:color w:val="3C3C3B"/>
        </w:rPr>
        <w:t>A final time-limit corresponding to the earlier of the following two dates: (i) the date on which the Company would no longer be entitled to receive royalties under the Ipsen agreement, and (ii) March 31, 2045 (notwithstanding the fact that none of the above return rates would have been achieved).</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auto"/>
        </w:rPr>
        <w:t>Nominal value repayment / HCRx recourse</w:t>
      </w:r>
    </w:p>
    <w:p>
      <w:pPr>
        <w:spacing w:after="0" w:line="18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5"/>
          <w:szCs w:val="15"/>
          <w:color w:val="auto"/>
        </w:rPr>
        <w:t>When either i) the applicable multiple is fully repaid (excluding the nominal value) or ii) one of the above final time limits is reached, then the Company must repay the nominal amount of the Royalty Financing Bonds (i.e. €9.25 million).</w:t>
      </w:r>
    </w:p>
    <w:p>
      <w:pPr>
        <w:spacing w:after="0" w:line="136"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auto"/>
        </w:rPr>
        <w:t>HCRx’s recourse against GENFIT is limited to GENFIT’s non-compliance with its contractual obligations under the royalty financing documentation and repayment of the nominal value of the Royalty Financing Bonds (€9.25 million).</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auto"/>
        </w:rPr>
        <w:t xml:space="preserve">French law trust </w:t>
      </w:r>
      <w:r>
        <w:rPr>
          <w:rFonts w:ascii="Arial" w:cs="Arial" w:eastAsia="Arial" w:hAnsi="Arial"/>
          <w:sz w:val="15"/>
          <w:szCs w:val="15"/>
          <w:i w:val="1"/>
          <w:iCs w:val="1"/>
          <w:u w:val="single" w:color="auto"/>
          <w:color w:val="auto"/>
        </w:rPr>
        <w:t>(fiducie-sûreté)</w:t>
      </w:r>
    </w:p>
    <w:p>
      <w:pPr>
        <w:spacing w:after="0" w:line="18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auto"/>
        </w:rPr>
        <w:t>To secure its payment and repayment obligations under the Royalty Financing Bonds, GENFIT will transfer the corresponding royalty receivables to a French law trust (</w:t>
      </w:r>
      <w:r>
        <w:rPr>
          <w:rFonts w:ascii="Arial" w:cs="Arial" w:eastAsia="Arial" w:hAnsi="Arial"/>
          <w:sz w:val="15"/>
          <w:szCs w:val="15"/>
          <w:i w:val="1"/>
          <w:iCs w:val="1"/>
          <w:color w:val="auto"/>
        </w:rPr>
        <w:t>fiducie-sûreté</w:t>
      </w:r>
      <w:r>
        <w:rPr>
          <w:rFonts w:ascii="Arial" w:cs="Arial" w:eastAsia="Arial" w:hAnsi="Arial"/>
          <w:sz w:val="15"/>
          <w:szCs w:val="15"/>
          <w:color w:val="auto"/>
        </w:rPr>
        <w:t>) for the benefit of the holders of the royalty financing bonds. To grant the security interest on the royalty receivable, the Company obtained the consent of the OCEANEs holders.</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Royalty Financing accounting, balances and disclosures</w:t>
      </w:r>
    </w:p>
    <w:p>
      <w:pPr>
        <w:spacing w:after="0" w:line="265"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auto"/>
        </w:rPr>
        <w:t>Initial accounting</w:t>
      </w:r>
    </w:p>
    <w:p>
      <w:pPr>
        <w:spacing w:after="0" w:line="185"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The first installment of €130 million was received on March 20, 2025. Therefore, GENFIT has designated the Royalty Financing is accounted for as a liability that includes an inseparable derivative and, in accordance with IFRS 9, is measured at fair value.</w:t>
      </w:r>
    </w:p>
    <w:p>
      <w:pPr>
        <w:spacing w:after="0" w:line="122"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5"/>
          <w:szCs w:val="15"/>
          <w:color w:val="3C3C3B"/>
        </w:rPr>
        <w:t>The total amount of the liability depends on royalties received from Ipsen, which are determined based on the sales volume of products derived from the licensed molecule—currently the drug Iqirvo® (elafibranor)—and denominated in the sales currency, which is predominantly U.S. dollars. Although these royalties can be estimated, they remain variable, introducing the concept of an underlying that can affect the value of the liability—a typical characteristic of derivatives. Furthermore, the royalties owed by Ipsen to Genfit are payable exclusively in euros, based on the average exchange rate over the 30-day period preceding the royalty payment due date. As a result, the repayment flows of the obligation depend on the evolution of the EUR/USD exchange rate, particularly in relation to the annual net sales cap of USD 600 million.</w:t>
      </w:r>
    </w:p>
    <w:p>
      <w:pPr>
        <w:spacing w:after="0" w:line="13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5"/>
          <w:szCs w:val="15"/>
          <w:color w:val="3C3C3B"/>
        </w:rPr>
        <w:t>Under IFRS 9, to determine whether the embedded derivative should be accounted for separately from the host contract, one must assess whether the economic characteristics and risks of the embedded derivative are closely related to those of the host contract. In this case, the reliance on the revenue of a third party (Ipsen) introduces a commercial risk that is exogenous to the typical credit risk of a debt instrument. This risk is not closely related to a debt whose cash flows are normally fixed or indexed to “standard” financial parameters. As a result, in this case, the embedded derivative cannot be considered closely related to the host contract.</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auto"/>
        </w:rPr>
        <w:t>Key initial estimates</w:t>
      </w:r>
    </w:p>
    <w:p>
      <w:pPr>
        <w:spacing w:after="0" w:line="185"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GENFIT plans to fulfill its commitment to HCRx before December 31, 2030. Accordingly, GENFIT will recognize the difference between the net proceeds received (€130 million) and the total expected payments (€201.2 million) as fair value through profit or loss (FVTPL) expenses.</w:t>
      </w:r>
    </w:p>
    <w:p>
      <w:pPr>
        <w:spacing w:after="0" w:line="259"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9"/>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34</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40" w:name="page41"/>
    <w:bookmarkEnd w:id="40"/>
    <w:p>
      <w:pPr>
        <w:ind w:left="320"/>
        <w:spacing w:after="0"/>
        <w:rPr>
          <w:sz w:val="20"/>
          <w:szCs w:val="20"/>
          <w:color w:val="auto"/>
        </w:rPr>
      </w:pPr>
      <w:r>
        <w:rPr>
          <w:rFonts w:ascii="Arial" w:cs="Arial" w:eastAsia="Arial" w:hAnsi="Arial"/>
          <w:sz w:val="15"/>
          <w:szCs w:val="15"/>
          <w:color w:val="3C3C3B"/>
        </w:rPr>
        <w:t>Key assumptions used in the fair value assessment are as follows:</w:t>
      </w:r>
    </w:p>
    <w:p>
      <w:pPr>
        <w:spacing w:after="0" w:line="79" w:lineRule="exact"/>
        <w:rPr>
          <w:sz w:val="20"/>
          <w:szCs w:val="20"/>
          <w:color w:val="auto"/>
        </w:rPr>
      </w:pPr>
    </w:p>
    <w:p>
      <w:pPr>
        <w:ind w:left="500" w:hanging="240"/>
        <w:spacing w:after="0"/>
        <w:tabs>
          <w:tab w:leader="none" w:pos="500" w:val="left"/>
        </w:tabs>
        <w:numPr>
          <w:ilvl w:val="0"/>
          <w:numId w:val="62"/>
        </w:numPr>
        <w:rPr>
          <w:rFonts w:ascii="Arial" w:cs="Arial" w:eastAsia="Arial" w:hAnsi="Arial"/>
          <w:sz w:val="15"/>
          <w:szCs w:val="15"/>
          <w:color w:val="3C3C3B"/>
        </w:rPr>
      </w:pPr>
      <w:r>
        <w:rPr>
          <w:rFonts w:ascii="Arial" w:cs="Arial" w:eastAsia="Arial" w:hAnsi="Arial"/>
          <w:sz w:val="15"/>
          <w:szCs w:val="15"/>
          <w:color w:val="3C3C3B"/>
        </w:rPr>
        <w:t>The expected sales of Iqirvo® (elafibranor) in multiple jurisdictions</w:t>
      </w:r>
    </w:p>
    <w:p>
      <w:pPr>
        <w:spacing w:after="0" w:line="92" w:lineRule="exact"/>
        <w:rPr>
          <w:rFonts w:ascii="Arial" w:cs="Arial" w:eastAsia="Arial" w:hAnsi="Arial"/>
          <w:sz w:val="15"/>
          <w:szCs w:val="15"/>
          <w:color w:val="3C3C3B"/>
        </w:rPr>
      </w:pPr>
    </w:p>
    <w:p>
      <w:pPr>
        <w:ind w:left="500" w:hanging="240"/>
        <w:spacing w:after="0"/>
        <w:tabs>
          <w:tab w:leader="none" w:pos="500" w:val="left"/>
        </w:tabs>
        <w:numPr>
          <w:ilvl w:val="0"/>
          <w:numId w:val="62"/>
        </w:numPr>
        <w:rPr>
          <w:rFonts w:ascii="Arial" w:cs="Arial" w:eastAsia="Arial" w:hAnsi="Arial"/>
          <w:sz w:val="15"/>
          <w:szCs w:val="15"/>
          <w:color w:val="3C3C3B"/>
        </w:rPr>
      </w:pPr>
      <w:r>
        <w:rPr>
          <w:rFonts w:ascii="Arial" w:cs="Arial" w:eastAsia="Arial" w:hAnsi="Arial"/>
          <w:sz w:val="15"/>
          <w:szCs w:val="15"/>
          <w:color w:val="3C3C3B"/>
        </w:rPr>
        <w:t>The forecasted exchange rates applicable to sales denominated in currencies other than the euro (primarily U.S. dollars), and</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62"/>
        </w:numPr>
        <w:rPr>
          <w:rFonts w:ascii="Arial" w:cs="Arial" w:eastAsia="Arial" w:hAnsi="Arial"/>
          <w:sz w:val="15"/>
          <w:szCs w:val="15"/>
          <w:color w:val="3C3C3B"/>
        </w:rPr>
      </w:pPr>
      <w:r>
        <w:rPr>
          <w:rFonts w:ascii="Arial" w:cs="Arial" w:eastAsia="Arial" w:hAnsi="Arial"/>
          <w:sz w:val="15"/>
          <w:szCs w:val="15"/>
          <w:color w:val="3C3C3B"/>
        </w:rPr>
        <w:t>The expected discount rate (which is nonobservable input).</w:t>
      </w:r>
    </w:p>
    <w:p>
      <w:pPr>
        <w:spacing w:after="0" w:line="18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5"/>
          <w:szCs w:val="15"/>
          <w:color w:val="3C3C3B"/>
        </w:rPr>
        <w:t>These assumptions will be reviewed and updated at each reporting date. Changes in estimates will be recognized through fair value-related expenses in profit or loss (FVTPL).</w:t>
      </w:r>
    </w:p>
    <w:p>
      <w:pPr>
        <w:spacing w:after="0" w:line="13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5"/>
          <w:szCs w:val="15"/>
          <w:color w:val="3C3C3B"/>
        </w:rPr>
        <w:t>As of June 30, 2025, a simplified amortized cost model was used to estimate the fair value of the Royalty Financing, taking into account the aforementioned assumptions, given the time elapsed between the start of the contract (March 20, 2025) and the reporting date (June 30, 2025). In accordance with IAS 1, we applied reasonable assumptions to establish accounting estimates, considering the cost-benefit. After June 30, 2025, GENFIT expects to utilize a stochastic model, a mathematical tool that incorporates uncertainty and variability of random processes, which is generally used to value embedded derivatives.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auto"/>
        </w:rPr>
        <w:t>Note on debt issuance costs</w:t>
      </w:r>
    </w:p>
    <w:p>
      <w:pPr>
        <w:spacing w:after="0" w:line="185"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Total debt issuance costs incurred totalled €4.0 million and were recognized in "Financial expenses" in the Consolidated statement of operations in the first half of 2025.</w:t>
      </w:r>
    </w:p>
    <w:p>
      <w:pPr>
        <w:spacing w:after="0" w:line="109"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5"/>
          <w:szCs w:val="15"/>
          <w:color w:val="3C3C3B"/>
        </w:rPr>
        <w:t>Under the agreement, HCRx incurred and paid an amount of €424 thousand in eligible expenses. In accordance with the terms of the agreement, and at its discretion and independently of any other outcome related to the agreement, GENFIT is obligated to reimburse HCRx for these expenses, inclusive of the applicable contractual multiple (as indicated above), depending on the timing of the reimbursement. Accordingly, GENFIT concluded that this additional liability will be repaid before December 31, 2030, for a total amount of €657 thousand (€424 thousand inclusive of the applicable 155% multiple). As a result, the amount recognized in profit or loss on March 20, 2025, was €657 thousand, and the balance will be settled before December 31, 2030. As of June 30, 2025, this amount is presented under 'Liability from royalty financing agreement' on the Statement of Financial Position.</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auto"/>
        </w:rPr>
        <w:t>Activity and balances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following table presents the movement in the liability related to the Royalty Financing agreement between March 20, 2025 and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6087110</wp:posOffset>
            </wp:positionH>
            <wp:positionV relativeFrom="paragraph">
              <wp:posOffset>145415</wp:posOffset>
            </wp:positionV>
            <wp:extent cx="104330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580" w:type="dxa"/>
            <w:vAlign w:val="bottom"/>
          </w:tcPr>
          <w:p>
            <w:pPr>
              <w:spacing w:after="0"/>
              <w:rPr>
                <w:sz w:val="14"/>
                <w:szCs w:val="14"/>
                <w:color w:val="auto"/>
              </w:rPr>
            </w:pPr>
          </w:p>
        </w:tc>
        <w:tc>
          <w:tcPr>
            <w:tcW w:w="1640" w:type="dxa"/>
            <w:vAlign w:val="bottom"/>
          </w:tcPr>
          <w:p>
            <w:pPr>
              <w:jc w:val="right"/>
              <w:ind w:right="218"/>
              <w:spacing w:after="0"/>
              <w:rPr>
                <w:sz w:val="20"/>
                <w:szCs w:val="20"/>
                <w:color w:val="auto"/>
              </w:rPr>
            </w:pPr>
            <w:r>
              <w:rPr>
                <w:rFonts w:ascii="Arial" w:cs="Arial" w:eastAsia="Arial" w:hAnsi="Arial"/>
                <w:sz w:val="12"/>
                <w:szCs w:val="12"/>
                <w:b w:val="1"/>
                <w:bCs w:val="1"/>
                <w:color w:val="E99D25"/>
              </w:rPr>
              <w:t>Amount of liability</w:t>
            </w:r>
          </w:p>
        </w:tc>
      </w:tr>
      <w:tr>
        <w:trPr>
          <w:trHeight w:val="20"/>
        </w:trPr>
        <w:tc>
          <w:tcPr>
            <w:tcW w:w="95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66"/>
        </w:trPr>
        <w:tc>
          <w:tcPr>
            <w:tcW w:w="9580" w:type="dxa"/>
            <w:vAlign w:val="bottom"/>
          </w:tcPr>
          <w:p>
            <w:pPr>
              <w:spacing w:after="0"/>
              <w:rPr>
                <w:sz w:val="14"/>
                <w:szCs w:val="14"/>
                <w:color w:val="auto"/>
              </w:rPr>
            </w:pPr>
          </w:p>
        </w:tc>
        <w:tc>
          <w:tcPr>
            <w:tcW w:w="1640" w:type="dxa"/>
            <w:vAlign w:val="bottom"/>
          </w:tcPr>
          <w:p>
            <w:pPr>
              <w:jc w:val="right"/>
              <w:ind w:right="298"/>
              <w:spacing w:after="0"/>
              <w:rPr>
                <w:sz w:val="20"/>
                <w:szCs w:val="20"/>
                <w:color w:val="auto"/>
              </w:rPr>
            </w:pPr>
            <w:r>
              <w:rPr>
                <w:rFonts w:ascii="Arial" w:cs="Arial" w:eastAsia="Arial" w:hAnsi="Arial"/>
                <w:sz w:val="12"/>
                <w:szCs w:val="12"/>
                <w:i w:val="1"/>
                <w:iCs w:val="1"/>
                <w:color w:val="auto"/>
              </w:rPr>
              <w:t>(in € thousands)</w:t>
            </w:r>
          </w:p>
        </w:tc>
      </w:tr>
      <w:tr>
        <w:trPr>
          <w:trHeight w:val="26"/>
        </w:trPr>
        <w:tc>
          <w:tcPr>
            <w:tcW w:w="95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72"/>
        </w:trPr>
        <w:tc>
          <w:tcPr>
            <w:tcW w:w="9580" w:type="dxa"/>
            <w:vAlign w:val="bottom"/>
            <w:tcBorders>
              <w:bottom w:val="single" w:sz="8" w:color="FDF6EA"/>
            </w:tcBorders>
            <w:shd w:val="clear" w:color="auto" w:fill="FDF6EA"/>
          </w:tcPr>
          <w:p>
            <w:pPr>
              <w:ind w:left="20"/>
              <w:spacing w:after="0"/>
              <w:rPr>
                <w:sz w:val="20"/>
                <w:szCs w:val="20"/>
                <w:color w:val="auto"/>
              </w:rPr>
            </w:pPr>
            <w:r>
              <w:rPr>
                <w:rFonts w:ascii="Arial" w:cs="Arial" w:eastAsia="Arial" w:hAnsi="Arial"/>
                <w:sz w:val="12"/>
                <w:szCs w:val="12"/>
                <w:color w:val="3C3C3B"/>
              </w:rPr>
              <w:t>Gross proceeds on March 20, 2025</w:t>
            </w:r>
          </w:p>
        </w:tc>
        <w:tc>
          <w:tcPr>
            <w:tcW w:w="1640" w:type="dxa"/>
            <w:vAlign w:val="bottom"/>
            <w:tcBorders>
              <w:bottom w:val="single" w:sz="8" w:color="FDF6EA"/>
            </w:tcBorders>
            <w:shd w:val="clear" w:color="auto" w:fill="FDF6EA"/>
          </w:tcPr>
          <w:p>
            <w:pPr>
              <w:jc w:val="right"/>
              <w:spacing w:after="0"/>
              <w:rPr>
                <w:sz w:val="20"/>
                <w:szCs w:val="20"/>
                <w:color w:val="auto"/>
              </w:rPr>
            </w:pPr>
            <w:r>
              <w:rPr>
                <w:rFonts w:ascii="Arial" w:cs="Arial" w:eastAsia="Arial" w:hAnsi="Arial"/>
                <w:sz w:val="12"/>
                <w:szCs w:val="12"/>
                <w:color w:val="auto"/>
              </w:rPr>
              <w:t>130,000</w:t>
            </w:r>
          </w:p>
        </w:tc>
      </w:tr>
      <w:tr>
        <w:trPr>
          <w:trHeight w:val="173"/>
        </w:trPr>
        <w:tc>
          <w:tcPr>
            <w:tcW w:w="9580" w:type="dxa"/>
            <w:vAlign w:val="bottom"/>
          </w:tcPr>
          <w:p>
            <w:pPr>
              <w:ind w:left="20"/>
              <w:spacing w:after="0"/>
              <w:rPr>
                <w:sz w:val="20"/>
                <w:szCs w:val="20"/>
                <w:color w:val="auto"/>
              </w:rPr>
            </w:pPr>
            <w:r>
              <w:rPr>
                <w:rFonts w:ascii="Arial" w:cs="Arial" w:eastAsia="Arial" w:hAnsi="Arial"/>
                <w:sz w:val="12"/>
                <w:szCs w:val="12"/>
                <w:color w:val="3C3C3B"/>
              </w:rPr>
              <w:t>Royalty payments to HCRx via the French-law trust</w:t>
            </w:r>
          </w:p>
        </w:tc>
        <w:tc>
          <w:tcPr>
            <w:tcW w:w="1640" w:type="dxa"/>
            <w:vAlign w:val="bottom"/>
          </w:tcPr>
          <w:p>
            <w:pPr>
              <w:jc w:val="right"/>
              <w:spacing w:after="0"/>
              <w:rPr>
                <w:sz w:val="20"/>
                <w:szCs w:val="20"/>
                <w:color w:val="auto"/>
              </w:rPr>
            </w:pPr>
            <w:r>
              <w:rPr>
                <w:rFonts w:ascii="Arial" w:cs="Arial" w:eastAsia="Arial" w:hAnsi="Arial"/>
                <w:sz w:val="12"/>
                <w:szCs w:val="12"/>
                <w:color w:val="auto"/>
              </w:rPr>
              <w:t>(4,492)</w:t>
            </w:r>
          </w:p>
        </w:tc>
      </w:tr>
      <w:tr>
        <w:trPr>
          <w:trHeight w:val="26"/>
        </w:trPr>
        <w:tc>
          <w:tcPr>
            <w:tcW w:w="95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79"/>
        </w:trPr>
        <w:tc>
          <w:tcPr>
            <w:tcW w:w="9580" w:type="dxa"/>
            <w:vAlign w:val="bottom"/>
            <w:tcBorders>
              <w:bottom w:val="single" w:sz="8" w:color="FDF6EA"/>
            </w:tcBorders>
            <w:shd w:val="clear" w:color="auto" w:fill="FDF6EA"/>
          </w:tcPr>
          <w:p>
            <w:pPr>
              <w:ind w:left="20"/>
              <w:spacing w:after="0"/>
              <w:rPr>
                <w:sz w:val="20"/>
                <w:szCs w:val="20"/>
                <w:color w:val="auto"/>
              </w:rPr>
            </w:pPr>
            <w:r>
              <w:rPr>
                <w:rFonts w:ascii="Arial" w:cs="Arial" w:eastAsia="Arial" w:hAnsi="Arial"/>
                <w:sz w:val="12"/>
                <w:szCs w:val="12"/>
                <w:color w:val="3C3C3B"/>
              </w:rPr>
              <w:t>Unpaid issuance costs</w:t>
            </w:r>
          </w:p>
        </w:tc>
        <w:tc>
          <w:tcPr>
            <w:tcW w:w="1640" w:type="dxa"/>
            <w:vAlign w:val="bottom"/>
            <w:tcBorders>
              <w:bottom w:val="single" w:sz="8" w:color="FDF6EA"/>
            </w:tcBorders>
            <w:shd w:val="clear" w:color="auto" w:fill="FDF6EA"/>
          </w:tcPr>
          <w:p>
            <w:pPr>
              <w:jc w:val="right"/>
              <w:spacing w:after="0"/>
              <w:rPr>
                <w:sz w:val="20"/>
                <w:szCs w:val="20"/>
                <w:color w:val="auto"/>
              </w:rPr>
            </w:pPr>
            <w:r>
              <w:rPr>
                <w:rFonts w:ascii="Arial" w:cs="Arial" w:eastAsia="Arial" w:hAnsi="Arial"/>
                <w:sz w:val="12"/>
                <w:szCs w:val="12"/>
                <w:color w:val="auto"/>
              </w:rPr>
              <w:t>657</w:t>
            </w:r>
          </w:p>
        </w:tc>
      </w:tr>
      <w:tr>
        <w:trPr>
          <w:trHeight w:val="173"/>
        </w:trPr>
        <w:tc>
          <w:tcPr>
            <w:tcW w:w="9580" w:type="dxa"/>
            <w:vAlign w:val="bottom"/>
          </w:tcPr>
          <w:p>
            <w:pPr>
              <w:ind w:left="20"/>
              <w:spacing w:after="0"/>
              <w:rPr>
                <w:sz w:val="20"/>
                <w:szCs w:val="20"/>
                <w:color w:val="auto"/>
              </w:rPr>
            </w:pPr>
            <w:r>
              <w:rPr>
                <w:rFonts w:ascii="Arial" w:cs="Arial" w:eastAsia="Arial" w:hAnsi="Arial"/>
                <w:sz w:val="12"/>
                <w:szCs w:val="12"/>
                <w:color w:val="3C3C3B"/>
              </w:rPr>
              <w:t>Fair value through profit or loss (FVTPL) expenses</w:t>
            </w:r>
          </w:p>
        </w:tc>
        <w:tc>
          <w:tcPr>
            <w:tcW w:w="1640" w:type="dxa"/>
            <w:vAlign w:val="bottom"/>
          </w:tcPr>
          <w:p>
            <w:pPr>
              <w:jc w:val="right"/>
              <w:spacing w:after="0"/>
              <w:rPr>
                <w:sz w:val="20"/>
                <w:szCs w:val="20"/>
                <w:color w:val="auto"/>
              </w:rPr>
            </w:pPr>
            <w:r>
              <w:rPr>
                <w:rFonts w:ascii="Arial" w:cs="Arial" w:eastAsia="Arial" w:hAnsi="Arial"/>
                <w:sz w:val="12"/>
                <w:szCs w:val="12"/>
                <w:color w:val="auto"/>
              </w:rPr>
              <w:t>5,434</w:t>
            </w:r>
          </w:p>
        </w:tc>
      </w:tr>
      <w:tr>
        <w:trPr>
          <w:trHeight w:val="26"/>
        </w:trPr>
        <w:tc>
          <w:tcPr>
            <w:tcW w:w="95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72"/>
        </w:trPr>
        <w:tc>
          <w:tcPr>
            <w:tcW w:w="9580" w:type="dxa"/>
            <w:vAlign w:val="bottom"/>
          </w:tcPr>
          <w:p>
            <w:pPr>
              <w:ind w:left="20"/>
              <w:spacing w:after="0"/>
              <w:rPr>
                <w:sz w:val="20"/>
                <w:szCs w:val="20"/>
                <w:color w:val="auto"/>
              </w:rPr>
            </w:pPr>
            <w:r>
              <w:rPr>
                <w:rFonts w:ascii="Arial" w:cs="Arial" w:eastAsia="Arial" w:hAnsi="Arial"/>
                <w:sz w:val="12"/>
                <w:szCs w:val="12"/>
                <w:b w:val="1"/>
                <w:bCs w:val="1"/>
                <w:color w:val="3C3C3B"/>
              </w:rPr>
              <w:t>Royalty financing agreement liability as of June 30, 2025</w:t>
            </w:r>
          </w:p>
        </w:tc>
        <w:tc>
          <w:tcPr>
            <w:tcW w:w="1640" w:type="dxa"/>
            <w:vAlign w:val="bottom"/>
          </w:tcPr>
          <w:p>
            <w:pPr>
              <w:jc w:val="right"/>
              <w:spacing w:after="0"/>
              <w:rPr>
                <w:sz w:val="20"/>
                <w:szCs w:val="20"/>
                <w:color w:val="auto"/>
              </w:rPr>
            </w:pPr>
            <w:r>
              <w:rPr>
                <w:rFonts w:ascii="Arial" w:cs="Arial" w:eastAsia="Arial" w:hAnsi="Arial"/>
                <w:sz w:val="12"/>
                <w:szCs w:val="12"/>
                <w:b w:val="1"/>
                <w:bCs w:val="1"/>
                <w:color w:val="auto"/>
              </w:rPr>
              <w:t>131,599</w:t>
            </w:r>
          </w:p>
        </w:tc>
      </w:tr>
      <w:tr>
        <w:trPr>
          <w:trHeight w:val="20"/>
        </w:trPr>
        <w:tc>
          <w:tcPr>
            <w:tcW w:w="95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auto"/>
        </w:rPr>
        <w:t>Expected future cash flows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following royalty revenues expected to be used to repay the Royalty Financing agreement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ind w:left="20"/>
              <w:spacing w:after="0"/>
              <w:rPr>
                <w:sz w:val="20"/>
                <w:szCs w:val="20"/>
                <w:color w:val="auto"/>
              </w:rPr>
            </w:pPr>
            <w:r>
              <w:rPr>
                <w:rFonts w:ascii="Arial" w:cs="Arial" w:eastAsia="Arial" w:hAnsi="Arial"/>
                <w:sz w:val="12"/>
                <w:szCs w:val="12"/>
                <w:b w:val="1"/>
                <w:bCs w:val="1"/>
                <w:color w:val="auto"/>
              </w:rPr>
              <w:t>Year</w:t>
            </w:r>
          </w:p>
        </w:tc>
        <w:tc>
          <w:tcPr>
            <w:tcW w:w="5600" w:type="dxa"/>
            <w:vAlign w:val="bottom"/>
          </w:tcPr>
          <w:p>
            <w:pPr>
              <w:jc w:val="right"/>
              <w:spacing w:after="0"/>
              <w:rPr>
                <w:sz w:val="20"/>
                <w:szCs w:val="20"/>
                <w:color w:val="auto"/>
              </w:rPr>
            </w:pPr>
            <w:r>
              <w:rPr>
                <w:rFonts w:ascii="Arial" w:cs="Arial" w:eastAsia="Arial" w:hAnsi="Arial"/>
                <w:sz w:val="12"/>
                <w:szCs w:val="12"/>
                <w:b w:val="1"/>
                <w:bCs w:val="1"/>
                <w:color w:val="auto"/>
              </w:rPr>
              <w:t>Royalties (in € millions)</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172"/>
        </w:trPr>
        <w:tc>
          <w:tcPr>
            <w:tcW w:w="5620" w:type="dxa"/>
            <w:vAlign w:val="bottom"/>
            <w:tcBorders>
              <w:bottom w:val="single" w:sz="8" w:color="FDF6EA"/>
            </w:tcBorders>
            <w:shd w:val="clear" w:color="auto" w:fill="FDF6EA"/>
          </w:tcPr>
          <w:p>
            <w:pPr>
              <w:ind w:left="20"/>
              <w:spacing w:after="0"/>
              <w:rPr>
                <w:sz w:val="20"/>
                <w:szCs w:val="20"/>
                <w:color w:val="auto"/>
              </w:rPr>
            </w:pPr>
            <w:r>
              <w:rPr>
                <w:rFonts w:ascii="Arial" w:cs="Arial" w:eastAsia="Arial" w:hAnsi="Arial"/>
                <w:sz w:val="12"/>
                <w:szCs w:val="12"/>
                <w:color w:val="auto"/>
              </w:rPr>
              <w:t>2025 (remainder thereof)</w:t>
            </w:r>
          </w:p>
        </w:tc>
        <w:tc>
          <w:tcPr>
            <w:tcW w:w="5600" w:type="dxa"/>
            <w:vAlign w:val="bottom"/>
            <w:tcBorders>
              <w:bottom w:val="single" w:sz="8" w:color="FDF6EA"/>
            </w:tcBorders>
            <w:shd w:val="clear" w:color="auto" w:fill="FDF6EA"/>
          </w:tcPr>
          <w:p>
            <w:pPr>
              <w:jc w:val="right"/>
              <w:spacing w:after="0"/>
              <w:rPr>
                <w:sz w:val="20"/>
                <w:szCs w:val="20"/>
                <w:color w:val="auto"/>
              </w:rPr>
            </w:pPr>
            <w:r>
              <w:rPr>
                <w:rFonts w:ascii="Arial" w:cs="Arial" w:eastAsia="Arial" w:hAnsi="Arial"/>
                <w:sz w:val="12"/>
                <w:szCs w:val="12"/>
                <w:color w:val="auto"/>
              </w:rPr>
              <w:t>7.0</w:t>
            </w:r>
          </w:p>
        </w:tc>
      </w:tr>
      <w:tr>
        <w:trPr>
          <w:trHeight w:val="173"/>
        </w:trPr>
        <w:tc>
          <w:tcPr>
            <w:tcW w:w="5620" w:type="dxa"/>
            <w:vAlign w:val="bottom"/>
          </w:tcPr>
          <w:p>
            <w:pPr>
              <w:ind w:left="20"/>
              <w:spacing w:after="0"/>
              <w:rPr>
                <w:sz w:val="20"/>
                <w:szCs w:val="20"/>
                <w:color w:val="auto"/>
              </w:rPr>
            </w:pPr>
            <w:r>
              <w:rPr>
                <w:rFonts w:ascii="Arial" w:cs="Arial" w:eastAsia="Arial" w:hAnsi="Arial"/>
                <w:sz w:val="12"/>
                <w:szCs w:val="12"/>
                <w:color w:val="auto"/>
              </w:rPr>
              <w:t>2026</w:t>
            </w:r>
          </w:p>
        </w:tc>
        <w:tc>
          <w:tcPr>
            <w:tcW w:w="5600" w:type="dxa"/>
            <w:vAlign w:val="bottom"/>
          </w:tcPr>
          <w:p>
            <w:pPr>
              <w:jc w:val="right"/>
              <w:spacing w:after="0"/>
              <w:rPr>
                <w:sz w:val="20"/>
                <w:szCs w:val="20"/>
                <w:color w:val="auto"/>
              </w:rPr>
            </w:pPr>
            <w:r>
              <w:rPr>
                <w:rFonts w:ascii="Arial" w:cs="Arial" w:eastAsia="Arial" w:hAnsi="Arial"/>
                <w:sz w:val="12"/>
                <w:szCs w:val="12"/>
                <w:color w:val="auto"/>
              </w:rPr>
              <w:t>26.2</w:t>
            </w:r>
          </w:p>
        </w:tc>
      </w:tr>
      <w:tr>
        <w:trPr>
          <w:trHeight w:val="26"/>
        </w:trPr>
        <w:tc>
          <w:tcPr>
            <w:tcW w:w="562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179"/>
        </w:trPr>
        <w:tc>
          <w:tcPr>
            <w:tcW w:w="5620" w:type="dxa"/>
            <w:vAlign w:val="bottom"/>
            <w:tcBorders>
              <w:bottom w:val="single" w:sz="8" w:color="FDF6EA"/>
            </w:tcBorders>
            <w:shd w:val="clear" w:color="auto" w:fill="FDF6EA"/>
          </w:tcPr>
          <w:p>
            <w:pPr>
              <w:ind w:left="20"/>
              <w:spacing w:after="0"/>
              <w:rPr>
                <w:sz w:val="20"/>
                <w:szCs w:val="20"/>
                <w:color w:val="auto"/>
              </w:rPr>
            </w:pPr>
            <w:r>
              <w:rPr>
                <w:rFonts w:ascii="Arial" w:cs="Arial" w:eastAsia="Arial" w:hAnsi="Arial"/>
                <w:sz w:val="12"/>
                <w:szCs w:val="12"/>
                <w:color w:val="auto"/>
              </w:rPr>
              <w:t>2027</w:t>
            </w:r>
          </w:p>
        </w:tc>
        <w:tc>
          <w:tcPr>
            <w:tcW w:w="5600" w:type="dxa"/>
            <w:vAlign w:val="bottom"/>
            <w:tcBorders>
              <w:bottom w:val="single" w:sz="8" w:color="FDF6EA"/>
            </w:tcBorders>
            <w:shd w:val="clear" w:color="auto" w:fill="FDF6EA"/>
          </w:tcPr>
          <w:p>
            <w:pPr>
              <w:jc w:val="right"/>
              <w:spacing w:after="0"/>
              <w:rPr>
                <w:sz w:val="20"/>
                <w:szCs w:val="20"/>
                <w:color w:val="auto"/>
              </w:rPr>
            </w:pPr>
            <w:r>
              <w:rPr>
                <w:rFonts w:ascii="Arial" w:cs="Arial" w:eastAsia="Arial" w:hAnsi="Arial"/>
                <w:sz w:val="12"/>
                <w:szCs w:val="12"/>
                <w:color w:val="auto"/>
              </w:rPr>
              <w:t>46.2</w:t>
            </w:r>
          </w:p>
        </w:tc>
      </w:tr>
      <w:tr>
        <w:trPr>
          <w:trHeight w:val="173"/>
        </w:trPr>
        <w:tc>
          <w:tcPr>
            <w:tcW w:w="5620" w:type="dxa"/>
            <w:vAlign w:val="bottom"/>
          </w:tcPr>
          <w:p>
            <w:pPr>
              <w:ind w:left="20"/>
              <w:spacing w:after="0"/>
              <w:rPr>
                <w:sz w:val="20"/>
                <w:szCs w:val="20"/>
                <w:color w:val="auto"/>
              </w:rPr>
            </w:pPr>
            <w:r>
              <w:rPr>
                <w:rFonts w:ascii="Arial" w:cs="Arial" w:eastAsia="Arial" w:hAnsi="Arial"/>
                <w:sz w:val="12"/>
                <w:szCs w:val="12"/>
                <w:color w:val="auto"/>
              </w:rPr>
              <w:t>2028</w:t>
            </w:r>
          </w:p>
        </w:tc>
        <w:tc>
          <w:tcPr>
            <w:tcW w:w="5600" w:type="dxa"/>
            <w:vAlign w:val="bottom"/>
          </w:tcPr>
          <w:p>
            <w:pPr>
              <w:jc w:val="right"/>
              <w:spacing w:after="0"/>
              <w:rPr>
                <w:sz w:val="20"/>
                <w:szCs w:val="20"/>
                <w:color w:val="auto"/>
              </w:rPr>
            </w:pPr>
            <w:r>
              <w:rPr>
                <w:rFonts w:ascii="Arial" w:cs="Arial" w:eastAsia="Arial" w:hAnsi="Arial"/>
                <w:sz w:val="12"/>
                <w:szCs w:val="12"/>
                <w:color w:val="auto"/>
              </w:rPr>
              <w:t>58.7</w:t>
            </w:r>
          </w:p>
        </w:tc>
      </w:tr>
      <w:tr>
        <w:trPr>
          <w:trHeight w:val="26"/>
        </w:trPr>
        <w:tc>
          <w:tcPr>
            <w:tcW w:w="562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179"/>
        </w:trPr>
        <w:tc>
          <w:tcPr>
            <w:tcW w:w="5620" w:type="dxa"/>
            <w:vAlign w:val="bottom"/>
            <w:tcBorders>
              <w:bottom w:val="single" w:sz="8" w:color="FDF6EA"/>
            </w:tcBorders>
            <w:shd w:val="clear" w:color="auto" w:fill="FDF6EA"/>
          </w:tcPr>
          <w:p>
            <w:pPr>
              <w:ind w:left="20"/>
              <w:spacing w:after="0"/>
              <w:rPr>
                <w:sz w:val="20"/>
                <w:szCs w:val="20"/>
                <w:color w:val="auto"/>
              </w:rPr>
            </w:pPr>
            <w:r>
              <w:rPr>
                <w:rFonts w:ascii="Arial" w:cs="Arial" w:eastAsia="Arial" w:hAnsi="Arial"/>
                <w:sz w:val="12"/>
                <w:szCs w:val="12"/>
                <w:color w:val="auto"/>
              </w:rPr>
              <w:t>2029</w:t>
            </w:r>
          </w:p>
        </w:tc>
        <w:tc>
          <w:tcPr>
            <w:tcW w:w="5600" w:type="dxa"/>
            <w:vAlign w:val="bottom"/>
            <w:tcBorders>
              <w:bottom w:val="single" w:sz="8" w:color="FDF6EA"/>
            </w:tcBorders>
            <w:shd w:val="clear" w:color="auto" w:fill="FDF6EA"/>
          </w:tcPr>
          <w:p>
            <w:pPr>
              <w:jc w:val="right"/>
              <w:spacing w:after="0"/>
              <w:rPr>
                <w:sz w:val="20"/>
                <w:szCs w:val="20"/>
                <w:color w:val="auto"/>
              </w:rPr>
            </w:pPr>
            <w:r>
              <w:rPr>
                <w:rFonts w:ascii="Arial" w:cs="Arial" w:eastAsia="Arial" w:hAnsi="Arial"/>
                <w:sz w:val="12"/>
                <w:szCs w:val="12"/>
                <w:color w:val="auto"/>
              </w:rPr>
              <w:t>58.9</w:t>
            </w:r>
          </w:p>
        </w:tc>
      </w:tr>
      <w:tr>
        <w:trPr>
          <w:trHeight w:val="20"/>
        </w:trPr>
        <w:tc>
          <w:tcPr>
            <w:tcW w:w="5620" w:type="dxa"/>
            <w:vAlign w:val="bottom"/>
            <w:shd w:val="clear" w:color="auto" w:fill="000000"/>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Sensitivity</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auto"/>
        </w:rPr>
        <w:t>Forecast USD/EUR exchange rate</w:t>
      </w:r>
    </w:p>
    <w:p>
      <w:pPr>
        <w:spacing w:after="0" w:line="18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5"/>
          <w:szCs w:val="15"/>
          <w:color w:val="3C3C3B"/>
        </w:rPr>
        <w:t>The Group expects to be able to fully reimburse the first installment of the Royalty financing agreement prior to the end of 2029 based on expected future cash flows and thus fulfill reimbursement at the contractual multiple of 155%. The estimated average USD/EUR exchange rate is 1.08 (1 EUR = 1.08 USD). If, for this first installment, the actual average exchange rate over the entire repayment period were 1.70 (with the underlying assumption that US sales make up 70% of total sales), this would cause the expected reimbursement to occur after 2030 and thus would trigger the application of the contractual multiple of 195%.</w:t>
      </w:r>
    </w:p>
    <w:p>
      <w:pPr>
        <w:spacing w:after="0" w:line="282"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9"/>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35</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41" w:name="page42"/>
    <w:bookmarkEnd w:id="41"/>
    <w:p>
      <w:pPr>
        <w:ind w:left="320"/>
        <w:spacing w:after="0"/>
        <w:rPr>
          <w:sz w:val="20"/>
          <w:szCs w:val="20"/>
          <w:color w:val="auto"/>
        </w:rPr>
      </w:pPr>
      <w:r>
        <w:rPr>
          <w:rFonts w:ascii="Arial" w:cs="Arial" w:eastAsia="Arial" w:hAnsi="Arial"/>
          <w:sz w:val="15"/>
          <w:szCs w:val="15"/>
          <w:u w:val="single" w:color="auto"/>
          <w:color w:val="auto"/>
        </w:rPr>
        <w:t>Future sales</w:t>
      </w:r>
    </w:p>
    <w:p>
      <w:pPr>
        <w:spacing w:after="0" w:line="18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auto"/>
        </w:rPr>
        <w:t>The Group expects to be able to fully reimburse the first installment of the Royalty financing agreement prior to the end of 2029 based on expected future cash flows and thus fulfill reimbursement at the contractual multiple of 155%. If, on the first installment, future cash flows decrease on average by greater than 31% this would cause the expected reimbursement to occur after 2030 and thus would trigger the application of the contractual multiple of 195%.</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0"/>
        <w:spacing w:after="0"/>
        <w:tabs>
          <w:tab w:leader="none" w:pos="1120" w:val="left"/>
        </w:tabs>
        <w:rPr>
          <w:sz w:val="20"/>
          <w:szCs w:val="20"/>
          <w:color w:val="auto"/>
        </w:rPr>
      </w:pPr>
      <w:r>
        <w:rPr>
          <w:rFonts w:ascii="Arial" w:cs="Arial" w:eastAsia="Arial" w:hAnsi="Arial"/>
          <w:sz w:val="16"/>
          <w:szCs w:val="16"/>
          <w:b w:val="1"/>
          <w:bCs w:val="1"/>
          <w:color w:val="auto"/>
        </w:rPr>
        <w:t>17.2.</w:t>
      </w:r>
      <w:r>
        <w:rPr>
          <w:sz w:val="20"/>
          <w:szCs w:val="20"/>
          <w:color w:val="auto"/>
        </w:rPr>
        <w:tab/>
      </w:r>
      <w:r>
        <w:rPr>
          <w:rFonts w:ascii="Arial" w:cs="Arial" w:eastAsia="Arial" w:hAnsi="Arial"/>
          <w:sz w:val="15"/>
          <w:szCs w:val="15"/>
          <w:b w:val="1"/>
          <w:bCs w:val="1"/>
          <w:color w:val="auto"/>
        </w:rPr>
        <w:t>Breakdown of convertible loan</w:t>
      </w:r>
    </w:p>
    <w:p>
      <w:pPr>
        <w:spacing w:after="0" w:line="2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5"/>
          <w:szCs w:val="15"/>
          <w:color w:val="3C3C3B"/>
        </w:rPr>
        <w:t>On October 16, 2017, the Company issued 6,081,081 OCEANEs at par with a nominal unit value of €29.60 per bond for an aggregate nominal amount of €180 million. This debt was renegotiated in January 2021 and substantially repurchased in 2025.</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Updated nominal balances</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As of 31/12/2024 :</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Borders>
              <w:top w:val="single" w:sz="8" w:color="E99D25"/>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Number of bonds</w:t>
            </w:r>
          </w:p>
        </w:tc>
        <w:tc>
          <w:tcPr>
            <w:tcW w:w="7380" w:type="dxa"/>
            <w:vAlign w:val="bottom"/>
            <w:tcBorders>
              <w:top w:val="single" w:sz="8" w:color="E99D25"/>
              <w:bottom w:val="single" w:sz="8" w:color="FDF5E7"/>
            </w:tcBorders>
            <w:shd w:val="clear" w:color="auto" w:fill="FDF5E7"/>
          </w:tcPr>
          <w:p>
            <w:pPr>
              <w:ind w:left="2060"/>
              <w:spacing w:after="0"/>
              <w:rPr>
                <w:sz w:val="20"/>
                <w:szCs w:val="20"/>
                <w:color w:val="auto"/>
              </w:rPr>
            </w:pPr>
            <w:r>
              <w:rPr>
                <w:rFonts w:ascii="Arial" w:cs="Arial" w:eastAsia="Arial" w:hAnsi="Arial"/>
                <w:sz w:val="12"/>
                <w:szCs w:val="12"/>
                <w:color w:val="3C3C3B"/>
              </w:rPr>
              <w:t>1,902,698</w:t>
            </w:r>
          </w:p>
        </w:tc>
      </w:tr>
      <w:tr>
        <w:trPr>
          <w:trHeight w:val="173"/>
        </w:trPr>
        <w:tc>
          <w:tcPr>
            <w:tcW w:w="3840" w:type="dxa"/>
            <w:vAlign w:val="bottom"/>
          </w:tcPr>
          <w:p>
            <w:pPr>
              <w:ind w:left="20"/>
              <w:spacing w:after="0"/>
              <w:rPr>
                <w:sz w:val="20"/>
                <w:szCs w:val="20"/>
                <w:color w:val="auto"/>
              </w:rPr>
            </w:pPr>
            <w:r>
              <w:rPr>
                <w:rFonts w:ascii="Arial" w:cs="Arial" w:eastAsia="Arial" w:hAnsi="Arial"/>
                <w:sz w:val="12"/>
                <w:szCs w:val="12"/>
                <w:color w:val="3C3C3B"/>
              </w:rPr>
              <w:t>Nominal amount of the loan</w:t>
            </w:r>
          </w:p>
        </w:tc>
        <w:tc>
          <w:tcPr>
            <w:tcW w:w="7380" w:type="dxa"/>
            <w:vAlign w:val="bottom"/>
          </w:tcPr>
          <w:p>
            <w:pPr>
              <w:ind w:left="2060"/>
              <w:spacing w:after="0"/>
              <w:rPr>
                <w:sz w:val="20"/>
                <w:szCs w:val="20"/>
                <w:color w:val="auto"/>
              </w:rPr>
            </w:pPr>
            <w:r>
              <w:rPr>
                <w:rFonts w:ascii="Arial" w:cs="Arial" w:eastAsia="Arial" w:hAnsi="Arial"/>
                <w:sz w:val="12"/>
                <w:szCs w:val="12"/>
                <w:color w:val="3C3C3B"/>
              </w:rPr>
              <w:t>56,319,860.80€</w:t>
            </w:r>
          </w:p>
        </w:tc>
      </w:tr>
      <w:tr>
        <w:trPr>
          <w:trHeight w:val="26"/>
        </w:trPr>
        <w:tc>
          <w:tcPr>
            <w:tcW w:w="384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179"/>
        </w:trPr>
        <w:tc>
          <w:tcPr>
            <w:tcW w:w="384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Nominal unit value of the bonds</w:t>
            </w:r>
          </w:p>
        </w:tc>
        <w:tc>
          <w:tcPr>
            <w:tcW w:w="7380" w:type="dxa"/>
            <w:vAlign w:val="bottom"/>
            <w:tcBorders>
              <w:bottom w:val="single" w:sz="8" w:color="FDF5E7"/>
            </w:tcBorders>
            <w:shd w:val="clear" w:color="auto" w:fill="FDF5E7"/>
          </w:tcPr>
          <w:p>
            <w:pPr>
              <w:ind w:left="2060"/>
              <w:spacing w:after="0"/>
              <w:rPr>
                <w:sz w:val="20"/>
                <w:szCs w:val="20"/>
                <w:color w:val="auto"/>
              </w:rPr>
            </w:pPr>
            <w:r>
              <w:rPr>
                <w:rFonts w:ascii="Arial" w:cs="Arial" w:eastAsia="Arial" w:hAnsi="Arial"/>
                <w:sz w:val="12"/>
                <w:szCs w:val="12"/>
                <w:color w:val="3C3C3B"/>
              </w:rPr>
              <w:t>29.60€</w:t>
            </w:r>
          </w:p>
        </w:tc>
      </w:tr>
      <w:tr>
        <w:trPr>
          <w:trHeight w:val="173"/>
        </w:trPr>
        <w:tc>
          <w:tcPr>
            <w:tcW w:w="3840" w:type="dxa"/>
            <w:vAlign w:val="bottom"/>
          </w:tcPr>
          <w:p>
            <w:pPr>
              <w:ind w:left="20"/>
              <w:spacing w:after="0"/>
              <w:rPr>
                <w:sz w:val="20"/>
                <w:szCs w:val="20"/>
                <w:color w:val="auto"/>
              </w:rPr>
            </w:pPr>
            <w:r>
              <w:rPr>
                <w:rFonts w:ascii="Arial" w:cs="Arial" w:eastAsia="Arial" w:hAnsi="Arial"/>
                <w:sz w:val="12"/>
                <w:szCs w:val="12"/>
                <w:color w:val="3C3C3B"/>
              </w:rPr>
              <w:t>Effective interest rate</w:t>
            </w:r>
          </w:p>
        </w:tc>
        <w:tc>
          <w:tcPr>
            <w:tcW w:w="7380" w:type="dxa"/>
            <w:vAlign w:val="bottom"/>
          </w:tcPr>
          <w:p>
            <w:pPr>
              <w:ind w:left="2060"/>
              <w:spacing w:after="0"/>
              <w:rPr>
                <w:sz w:val="20"/>
                <w:szCs w:val="20"/>
                <w:color w:val="auto"/>
              </w:rPr>
            </w:pPr>
            <w:r>
              <w:rPr>
                <w:rFonts w:ascii="Arial" w:cs="Arial" w:eastAsia="Arial" w:hAnsi="Arial"/>
                <w:sz w:val="12"/>
                <w:szCs w:val="12"/>
                <w:color w:val="3C3C3B"/>
              </w:rPr>
              <w:t>8.8%</w:t>
            </w:r>
          </w:p>
        </w:tc>
      </w:tr>
      <w:tr>
        <w:trPr>
          <w:trHeight w:val="26"/>
        </w:trPr>
        <w:tc>
          <w:tcPr>
            <w:tcW w:w="3840" w:type="dxa"/>
            <w:vAlign w:val="bottom"/>
            <w:tcBorders>
              <w:bottom w:val="single" w:sz="8" w:color="242424"/>
            </w:tcBorders>
          </w:tcPr>
          <w:p>
            <w:pPr>
              <w:spacing w:after="0"/>
              <w:rPr>
                <w:sz w:val="2"/>
                <w:szCs w:val="2"/>
                <w:color w:val="auto"/>
              </w:rPr>
            </w:pPr>
          </w:p>
        </w:tc>
        <w:tc>
          <w:tcPr>
            <w:tcW w:w="7380" w:type="dxa"/>
            <w:vAlign w:val="bottom"/>
            <w:tcBorders>
              <w:bottom w:val="single" w:sz="8" w:color="242424"/>
            </w:tcBorders>
          </w:tcPr>
          <w:p>
            <w:pPr>
              <w:spacing w:after="0"/>
              <w:rPr>
                <w:sz w:val="2"/>
                <w:szCs w:val="2"/>
                <w:color w:val="auto"/>
              </w:rPr>
            </w:pPr>
          </w:p>
        </w:tc>
      </w:tr>
      <w:tr>
        <w:trPr>
          <w:trHeight w:val="172"/>
        </w:trPr>
        <w:tc>
          <w:tcPr>
            <w:tcW w:w="3840" w:type="dxa"/>
            <w:vAlign w:val="bottom"/>
          </w:tcPr>
          <w:p>
            <w:pPr>
              <w:ind w:left="20"/>
              <w:spacing w:after="0"/>
              <w:rPr>
                <w:sz w:val="20"/>
                <w:szCs w:val="20"/>
                <w:color w:val="auto"/>
              </w:rPr>
            </w:pPr>
            <w:r>
              <w:rPr>
                <w:rFonts w:ascii="Arial" w:cs="Arial" w:eastAsia="Arial" w:hAnsi="Arial"/>
                <w:sz w:val="12"/>
                <w:szCs w:val="12"/>
                <w:b w:val="1"/>
                <w:bCs w:val="1"/>
                <w:color w:val="E99D25"/>
              </w:rPr>
              <w:t>As of 30/06/2025 :</w:t>
            </w:r>
          </w:p>
        </w:tc>
        <w:tc>
          <w:tcPr>
            <w:tcW w:w="7380" w:type="dxa"/>
            <w:vAlign w:val="bottom"/>
          </w:tcPr>
          <w:p>
            <w:pPr>
              <w:spacing w:after="0"/>
              <w:rPr>
                <w:sz w:val="14"/>
                <w:szCs w:val="14"/>
                <w:color w:val="auto"/>
              </w:rPr>
            </w:pPr>
          </w:p>
        </w:tc>
      </w:tr>
      <w:tr>
        <w:trPr>
          <w:trHeight w:val="20"/>
        </w:trPr>
        <w:tc>
          <w:tcPr>
            <w:tcW w:w="3840" w:type="dxa"/>
            <w:vAlign w:val="bottom"/>
            <w:tcBorders>
              <w:bottom w:val="single" w:sz="8" w:color="E99D25"/>
            </w:tcBorders>
          </w:tcPr>
          <w:p>
            <w:pPr>
              <w:spacing w:after="0" w:line="20" w:lineRule="exact"/>
              <w:rPr>
                <w:sz w:val="1"/>
                <w:szCs w:val="1"/>
                <w:color w:val="auto"/>
              </w:rPr>
            </w:pPr>
          </w:p>
        </w:tc>
        <w:tc>
          <w:tcPr>
            <w:tcW w:w="7380" w:type="dxa"/>
            <w:vAlign w:val="bottom"/>
            <w:tcBorders>
              <w:bottom w:val="single" w:sz="8" w:color="E99D25"/>
            </w:tcBorders>
          </w:tcPr>
          <w:p>
            <w:pPr>
              <w:spacing w:after="0" w:line="20" w:lineRule="exact"/>
              <w:rPr>
                <w:sz w:val="1"/>
                <w:szCs w:val="1"/>
                <w:color w:val="auto"/>
              </w:rPr>
            </w:pPr>
          </w:p>
        </w:tc>
      </w:tr>
      <w:tr>
        <w:trPr>
          <w:trHeight w:val="172"/>
        </w:trPr>
        <w:tc>
          <w:tcPr>
            <w:tcW w:w="384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Number of bonds</w:t>
            </w:r>
          </w:p>
        </w:tc>
        <w:tc>
          <w:tcPr>
            <w:tcW w:w="7380" w:type="dxa"/>
            <w:vAlign w:val="bottom"/>
            <w:tcBorders>
              <w:bottom w:val="single" w:sz="8" w:color="FDF5E7"/>
            </w:tcBorders>
            <w:shd w:val="clear" w:color="auto" w:fill="FDF5E7"/>
          </w:tcPr>
          <w:p>
            <w:pPr>
              <w:ind w:left="2060"/>
              <w:spacing w:after="0"/>
              <w:rPr>
                <w:sz w:val="20"/>
                <w:szCs w:val="20"/>
                <w:color w:val="auto"/>
              </w:rPr>
            </w:pPr>
            <w:r>
              <w:rPr>
                <w:rFonts w:ascii="Arial" w:cs="Arial" w:eastAsia="Arial" w:hAnsi="Arial"/>
                <w:sz w:val="12"/>
                <w:szCs w:val="12"/>
                <w:color w:val="3C3C3B"/>
              </w:rPr>
              <w:t>19,807</w:t>
            </w:r>
          </w:p>
        </w:tc>
      </w:tr>
      <w:tr>
        <w:trPr>
          <w:trHeight w:val="173"/>
        </w:trPr>
        <w:tc>
          <w:tcPr>
            <w:tcW w:w="3840" w:type="dxa"/>
            <w:vAlign w:val="bottom"/>
          </w:tcPr>
          <w:p>
            <w:pPr>
              <w:ind w:left="20"/>
              <w:spacing w:after="0"/>
              <w:rPr>
                <w:sz w:val="20"/>
                <w:szCs w:val="20"/>
                <w:color w:val="auto"/>
              </w:rPr>
            </w:pPr>
            <w:r>
              <w:rPr>
                <w:rFonts w:ascii="Arial" w:cs="Arial" w:eastAsia="Arial" w:hAnsi="Arial"/>
                <w:sz w:val="12"/>
                <w:szCs w:val="12"/>
                <w:color w:val="3C3C3B"/>
              </w:rPr>
              <w:t>Nominal amount of the loan</w:t>
            </w:r>
          </w:p>
        </w:tc>
        <w:tc>
          <w:tcPr>
            <w:tcW w:w="7380" w:type="dxa"/>
            <w:vAlign w:val="bottom"/>
          </w:tcPr>
          <w:p>
            <w:pPr>
              <w:ind w:left="2060"/>
              <w:spacing w:after="0"/>
              <w:rPr>
                <w:sz w:val="20"/>
                <w:szCs w:val="20"/>
                <w:color w:val="auto"/>
              </w:rPr>
            </w:pPr>
            <w:r>
              <w:rPr>
                <w:rFonts w:ascii="Arial" w:cs="Arial" w:eastAsia="Arial" w:hAnsi="Arial"/>
                <w:sz w:val="12"/>
                <w:szCs w:val="12"/>
                <w:color w:val="3C3C3B"/>
              </w:rPr>
              <w:t>586,287.20€</w:t>
            </w:r>
          </w:p>
        </w:tc>
      </w:tr>
      <w:tr>
        <w:trPr>
          <w:trHeight w:val="26"/>
        </w:trPr>
        <w:tc>
          <w:tcPr>
            <w:tcW w:w="384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179"/>
        </w:trPr>
        <w:tc>
          <w:tcPr>
            <w:tcW w:w="384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Nominal unit value of the bonds</w:t>
            </w:r>
          </w:p>
        </w:tc>
        <w:tc>
          <w:tcPr>
            <w:tcW w:w="7380" w:type="dxa"/>
            <w:vAlign w:val="bottom"/>
            <w:tcBorders>
              <w:bottom w:val="single" w:sz="8" w:color="FDF5E7"/>
            </w:tcBorders>
            <w:shd w:val="clear" w:color="auto" w:fill="FDF5E7"/>
          </w:tcPr>
          <w:p>
            <w:pPr>
              <w:ind w:left="2060"/>
              <w:spacing w:after="0"/>
              <w:rPr>
                <w:sz w:val="20"/>
                <w:szCs w:val="20"/>
                <w:color w:val="auto"/>
              </w:rPr>
            </w:pPr>
            <w:r>
              <w:rPr>
                <w:rFonts w:ascii="Arial" w:cs="Arial" w:eastAsia="Arial" w:hAnsi="Arial"/>
                <w:sz w:val="12"/>
                <w:szCs w:val="12"/>
                <w:color w:val="3C3C3B"/>
              </w:rPr>
              <w:t>29.60€</w:t>
            </w:r>
          </w:p>
        </w:tc>
      </w:tr>
      <w:tr>
        <w:trPr>
          <w:trHeight w:val="173"/>
        </w:trPr>
        <w:tc>
          <w:tcPr>
            <w:tcW w:w="3840" w:type="dxa"/>
            <w:vAlign w:val="bottom"/>
          </w:tcPr>
          <w:p>
            <w:pPr>
              <w:ind w:left="20"/>
              <w:spacing w:after="0"/>
              <w:rPr>
                <w:sz w:val="20"/>
                <w:szCs w:val="20"/>
                <w:color w:val="auto"/>
              </w:rPr>
            </w:pPr>
            <w:r>
              <w:rPr>
                <w:rFonts w:ascii="Arial" w:cs="Arial" w:eastAsia="Arial" w:hAnsi="Arial"/>
                <w:sz w:val="12"/>
                <w:szCs w:val="12"/>
                <w:color w:val="3C3C3B"/>
              </w:rPr>
              <w:t>Effective interest rate</w:t>
            </w:r>
          </w:p>
        </w:tc>
        <w:tc>
          <w:tcPr>
            <w:tcW w:w="7380" w:type="dxa"/>
            <w:vAlign w:val="bottom"/>
          </w:tcPr>
          <w:p>
            <w:pPr>
              <w:ind w:left="2060"/>
              <w:spacing w:after="0"/>
              <w:rPr>
                <w:sz w:val="20"/>
                <w:szCs w:val="20"/>
                <w:color w:val="auto"/>
              </w:rPr>
            </w:pPr>
            <w:r>
              <w:rPr>
                <w:rFonts w:ascii="Arial" w:cs="Arial" w:eastAsia="Arial" w:hAnsi="Arial"/>
                <w:sz w:val="12"/>
                <w:szCs w:val="12"/>
                <w:color w:val="3C3C3B"/>
              </w:rPr>
              <w:t>8.8%</w:t>
            </w:r>
          </w:p>
        </w:tc>
      </w:tr>
      <w:tr>
        <w:trPr>
          <w:trHeight w:val="26"/>
        </w:trPr>
        <w:tc>
          <w:tcPr>
            <w:tcW w:w="3840" w:type="dxa"/>
            <w:vAlign w:val="bottom"/>
            <w:tcBorders>
              <w:bottom w:val="single" w:sz="8" w:color="242424"/>
            </w:tcBorders>
          </w:tcPr>
          <w:p>
            <w:pPr>
              <w:spacing w:after="0"/>
              <w:rPr>
                <w:sz w:val="2"/>
                <w:szCs w:val="2"/>
                <w:color w:val="auto"/>
              </w:rPr>
            </w:pPr>
          </w:p>
        </w:tc>
        <w:tc>
          <w:tcPr>
            <w:tcW w:w="7380" w:type="dxa"/>
            <w:vAlign w:val="bottom"/>
            <w:tcBorders>
              <w:bottom w:val="single" w:sz="8" w:color="242424"/>
            </w:tcBorders>
          </w:tcPr>
          <w:p>
            <w:pPr>
              <w:spacing w:after="0"/>
              <w:rPr>
                <w:sz w:val="2"/>
                <w:szCs w:val="2"/>
                <w:color w:val="auto"/>
              </w:rPr>
            </w:pPr>
          </w:p>
        </w:tc>
      </w:tr>
    </w:tbl>
    <w:p>
      <w:pPr>
        <w:spacing w:after="0" w:line="248"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Repurchase</w:t>
      </w:r>
    </w:p>
    <w:p>
      <w:pPr>
        <w:spacing w:after="0" w:line="18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5"/>
          <w:szCs w:val="15"/>
          <w:color w:val="3C3C3B"/>
        </w:rPr>
        <w:t xml:space="preserve">Currently with the Royalty Financing agreement (see </w:t>
      </w:r>
      <w:r>
        <w:rPr>
          <w:rFonts w:ascii="Arial" w:cs="Arial" w:eastAsia="Arial" w:hAnsi="Arial"/>
          <w:sz w:val="15"/>
          <w:szCs w:val="15"/>
          <w:u w:val="single" w:color="auto"/>
          <w:color w:val="0000FF"/>
        </w:rPr>
        <w:t>Note 17.1 - Royalty Financing</w:t>
      </w:r>
      <w:r>
        <w:rPr>
          <w:rFonts w:ascii="Arial" w:cs="Arial" w:eastAsia="Arial" w:hAnsi="Arial"/>
          <w:sz w:val="15"/>
          <w:szCs w:val="15"/>
          <w:color w:val="3C3C3B"/>
        </w:rPr>
        <w:t>), the Company proposed to all of the OCEANEs holders to enter into a Put Option Agreement, pursuant to which the Company unconditionally and irrevocably undertook to repurchase the OCEANEs of such holder at a price of EUR 32.75 per bond, subject to approval by the general meeting of the OCEANEs holders of the amendment of the terms and conditions of the OCEANEs and the closing of the Royalty Financing (the “Repurchase”). Holders had until March 19, 2025 to exercise this option.</w:t>
      </w:r>
    </w:p>
    <w:p>
      <w:pPr>
        <w:spacing w:after="0" w:line="145"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5"/>
          <w:szCs w:val="15"/>
          <w:color w:val="3C3C3B"/>
        </w:rPr>
        <w:t>The settlement of the Repurchase occurred on March 26, 2025. 1,882,891 OCEANEs were repurchased for a total amount paid of €61.7 million. The repurchased OCEANEs were then canceled by the Company. A new calculation of the “debt” and “equity” components was performed on the repurchase date, taking into account the updated discount rate as of that date, in accordance with IAS 32. This allowed the repurchase price to be allocated between the “debt” component (€54.8 million) and the “equity” component (€6.9 million).</w:t>
      </w:r>
    </w:p>
    <w:p>
      <w:pPr>
        <w:spacing w:after="0" w:line="149"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5"/>
          <w:szCs w:val="15"/>
          <w:color w:val="auto"/>
        </w:rPr>
        <w:t>Just prior to the repurchase, the net carrying amount of the “debt” component of the repurchased OCEANEs was €55.1 million. As a result, a gain of €0.3 million was recognized in Financial Income on the Consolidated Statement of Operations, corresponding to the difference between the repurchase price allocated to the “debt” component (€54.8 million) and its carrying amount (€55.1 million).</w:t>
      </w:r>
    </w:p>
    <w:p>
      <w:pPr>
        <w:spacing w:after="0" w:line="123"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auto"/>
        </w:rPr>
        <w:t>The portion of the repurchase price allocated to the “equity” component (€6.9 million) was recorded as a deduction from Share Premium in the Consolidated Statement of Changes in Equity.</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auto"/>
        </w:rPr>
        <w:t>Consent Fee</w:t>
      </w:r>
    </w:p>
    <w:p>
      <w:pPr>
        <w:spacing w:after="0" w:line="18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auto"/>
        </w:rPr>
        <w:t>The Company also undertook, subject to the approval of the amendment of the terms and conditions of the OCEANEs and the closing of the Royalty Financing, to pay a consent fee (the “Consent Fee”) of EUR 0.90 per bond to the holders of OCEANEs still outstanding after cancellation of the repurchased OCEANEs. The OCEANEs that were bought back by the Company as part of the Repurchase thus did not receive the Consent Fee.</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payment of the Consent Fee occurred on April 14, 2025, totaling €18 thousand recorded in Financial expenses.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Key terms and other information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auto"/>
        </w:rPr>
        <w:t>Nominal annual interest rate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nominal annual interest rate is 3.5%, payable semi-annually in arrears.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auto"/>
        </w:rPr>
        <w:t>Repayment terms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Final reimbursement is scheduled for October 16, 2025.</w:t>
      </w:r>
    </w:p>
    <w:p>
      <w:pPr>
        <w:spacing w:after="0" w:line="322"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9"/>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36</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42" w:name="page43"/>
    <w:bookmarkEnd w:id="42"/>
    <w:p>
      <w:pPr>
        <w:ind w:firstLine="318"/>
        <w:spacing w:after="0" w:line="293" w:lineRule="auto"/>
        <w:rPr>
          <w:sz w:val="20"/>
          <w:szCs w:val="20"/>
          <w:color w:val="auto"/>
        </w:rPr>
      </w:pPr>
      <w:r>
        <w:rPr>
          <w:rFonts w:ascii="Arial" w:cs="Arial" w:eastAsia="Arial" w:hAnsi="Arial"/>
          <w:sz w:val="15"/>
          <w:szCs w:val="15"/>
          <w:color w:val="auto"/>
        </w:rPr>
        <w:t>Redemption prior to maturity at the option of the Company is possible if the arithmetic volume-weighted average price of GENFIT's listed share price and the then prevailing conversion ratio over a 20 day trading period exceeds 1.5 times the nominal value of the OCEANEs.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auto"/>
        </w:rPr>
        <w:t>Conversion ratio and terms</w:t>
      </w:r>
    </w:p>
    <w:p>
      <w:pPr>
        <w:spacing w:after="0" w:line="185" w:lineRule="exact"/>
        <w:rPr>
          <w:sz w:val="20"/>
          <w:szCs w:val="20"/>
          <w:color w:val="auto"/>
        </w:rPr>
      </w:pPr>
    </w:p>
    <w:p>
      <w:pPr>
        <w:ind w:firstLine="318"/>
        <w:spacing w:after="0" w:line="274" w:lineRule="auto"/>
        <w:rPr>
          <w:sz w:val="20"/>
          <w:szCs w:val="20"/>
          <w:color w:val="auto"/>
        </w:rPr>
      </w:pPr>
      <w:r>
        <w:rPr>
          <w:rFonts w:ascii="Arial" w:cs="Arial" w:eastAsia="Arial" w:hAnsi="Arial"/>
          <w:sz w:val="15"/>
          <w:szCs w:val="15"/>
          <w:color w:val="auto"/>
        </w:rPr>
        <w:t>The conversion ration is 5.5 ordinary shares per bond. There are no specific terms that need to be met for a holder of OCEANEs to convert their debt into GENFIT shares.</w:t>
      </w:r>
    </w:p>
    <w:p>
      <w:pPr>
        <w:spacing w:after="0" w:line="136" w:lineRule="exact"/>
        <w:rPr>
          <w:sz w:val="20"/>
          <w:szCs w:val="20"/>
          <w:color w:val="auto"/>
        </w:rPr>
      </w:pPr>
    </w:p>
    <w:p>
      <w:pPr>
        <w:ind w:right="20" w:firstLine="318"/>
        <w:spacing w:after="0" w:line="293" w:lineRule="auto"/>
        <w:rPr>
          <w:sz w:val="20"/>
          <w:szCs w:val="20"/>
          <w:color w:val="auto"/>
        </w:rPr>
      </w:pPr>
      <w:r>
        <w:rPr>
          <w:rFonts w:ascii="Arial" w:cs="Arial" w:eastAsia="Arial" w:hAnsi="Arial"/>
          <w:sz w:val="15"/>
          <w:szCs w:val="15"/>
          <w:color w:val="auto"/>
        </w:rPr>
        <w:t>50 bonds were requested to be converted into 275 GENFIT shares during the six month period ended June 30, 2025 after the repurchase described above (finalized and recorded in July).</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auto"/>
        </w:rPr>
        <w:t>Conversion / exchange premium</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conversion / exchange premium is 30% relative to GENFIT's reference share price (22.77€).</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auto"/>
        </w:rPr>
        <w:t>Maximum dilution</w:t>
      </w:r>
    </w:p>
    <w:p>
      <w:pPr>
        <w:spacing w:after="0" w:line="185" w:lineRule="exact"/>
        <w:rPr>
          <w:sz w:val="20"/>
          <w:szCs w:val="20"/>
          <w:color w:val="auto"/>
        </w:rPr>
      </w:pPr>
    </w:p>
    <w:p>
      <w:pPr>
        <w:ind w:firstLine="318"/>
        <w:spacing w:after="0" w:line="293" w:lineRule="auto"/>
        <w:rPr>
          <w:sz w:val="20"/>
          <w:szCs w:val="20"/>
          <w:color w:val="auto"/>
        </w:rPr>
      </w:pPr>
      <w:r>
        <w:rPr>
          <w:rFonts w:ascii="Arial" w:cs="Arial" w:eastAsia="Arial" w:hAnsi="Arial"/>
          <w:sz w:val="15"/>
          <w:szCs w:val="15"/>
          <w:color w:val="auto"/>
        </w:rPr>
        <w:t>The potential issuance of new shares upon conversion requests of the outstanding OCEANEs would represent 0.2% of the share capital of the Company at June 30, 2025.</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Remaining balances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80" w:type="dxa"/>
            <w:vAlign w:val="bottom"/>
          </w:tcPr>
          <w:p>
            <w:pPr>
              <w:ind w:left="20"/>
              <w:spacing w:after="0"/>
              <w:rPr>
                <w:sz w:val="20"/>
                <w:szCs w:val="20"/>
                <w:color w:val="auto"/>
              </w:rPr>
            </w:pPr>
            <w:r>
              <w:rPr>
                <w:rFonts w:ascii="Arial" w:cs="Arial" w:eastAsia="Arial" w:hAnsi="Arial"/>
                <w:sz w:val="12"/>
                <w:szCs w:val="12"/>
                <w:b w:val="1"/>
                <w:bCs w:val="1"/>
                <w:color w:val="3C3C3B"/>
              </w:rPr>
              <w:t>Convertible loans - Current</w:t>
            </w:r>
          </w:p>
        </w:tc>
        <w:tc>
          <w:tcPr>
            <w:tcW w:w="212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2"/>
                <w:szCs w:val="12"/>
                <w:b w:val="1"/>
                <w:bCs w:val="1"/>
                <w:color w:val="3C3C3B"/>
              </w:rPr>
              <w:t>As of</w:t>
            </w:r>
          </w:p>
        </w:tc>
        <w:tc>
          <w:tcPr>
            <w:tcW w:w="1020" w:type="dxa"/>
            <w:vAlign w:val="bottom"/>
            <w:tcBorders>
              <w:bottom w:val="single" w:sz="8" w:color="auto"/>
            </w:tcBorders>
            <w:shd w:val="clear" w:color="auto" w:fill="CCEEFF"/>
          </w:tcPr>
          <w:p>
            <w:pPr>
              <w:spacing w:after="0"/>
              <w:rPr>
                <w:sz w:val="16"/>
                <w:szCs w:val="16"/>
                <w:color w:val="auto"/>
              </w:rPr>
            </w:pPr>
          </w:p>
        </w:tc>
      </w:tr>
      <w:tr>
        <w:trPr>
          <w:trHeight w:val="176"/>
        </w:trPr>
        <w:tc>
          <w:tcPr>
            <w:tcW w:w="808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2120" w:type="dxa"/>
            <w:vAlign w:val="bottom"/>
          </w:tcPr>
          <w:p>
            <w:pPr>
              <w:jc w:val="right"/>
              <w:ind w:right="558"/>
              <w:spacing w:after="0"/>
              <w:rPr>
                <w:sz w:val="20"/>
                <w:szCs w:val="20"/>
                <w:color w:val="auto"/>
              </w:rPr>
            </w:pPr>
            <w:r>
              <w:rPr>
                <w:rFonts w:ascii="Arial" w:cs="Arial" w:eastAsia="Arial" w:hAnsi="Arial"/>
                <w:sz w:val="12"/>
                <w:szCs w:val="12"/>
                <w:b w:val="1"/>
                <w:bCs w:val="1"/>
                <w:color w:val="3C3C3B"/>
              </w:rPr>
              <w:t>2024/12/31</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80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808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Convertible loans</w:t>
            </w:r>
          </w:p>
        </w:tc>
        <w:tc>
          <w:tcPr>
            <w:tcW w:w="2120" w:type="dxa"/>
            <w:vAlign w:val="bottom"/>
            <w:tcBorders>
              <w:bottom w:val="single" w:sz="8" w:color="FDF5E7"/>
            </w:tcBorders>
            <w:shd w:val="clear" w:color="auto" w:fill="FDF5E7"/>
          </w:tcPr>
          <w:p>
            <w:pPr>
              <w:jc w:val="right"/>
              <w:ind w:right="598"/>
              <w:spacing w:after="0"/>
              <w:rPr>
                <w:sz w:val="20"/>
                <w:szCs w:val="20"/>
                <w:color w:val="auto"/>
              </w:rPr>
            </w:pPr>
            <w:r>
              <w:rPr>
                <w:rFonts w:ascii="Arial" w:cs="Arial" w:eastAsia="Arial" w:hAnsi="Arial"/>
                <w:sz w:val="12"/>
                <w:szCs w:val="12"/>
                <w:color w:val="auto"/>
              </w:rPr>
              <w:t>54,572</w:t>
            </w:r>
          </w:p>
        </w:tc>
        <w:tc>
          <w:tcPr>
            <w:tcW w:w="10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582</w:t>
            </w:r>
          </w:p>
        </w:tc>
      </w:tr>
      <w:tr>
        <w:trPr>
          <w:trHeight w:val="172"/>
        </w:trPr>
        <w:tc>
          <w:tcPr>
            <w:tcW w:w="808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3C3C3B"/>
              </w:rPr>
              <w:t>TOTAL</w:t>
            </w:r>
          </w:p>
        </w:tc>
        <w:tc>
          <w:tcPr>
            <w:tcW w:w="2120" w:type="dxa"/>
            <w:vAlign w:val="bottom"/>
            <w:tcBorders>
              <w:top w:val="single" w:sz="8" w:color="auto"/>
            </w:tcBorders>
          </w:tcPr>
          <w:p>
            <w:pPr>
              <w:jc w:val="right"/>
              <w:ind w:right="558"/>
              <w:spacing w:after="0"/>
              <w:rPr>
                <w:sz w:val="20"/>
                <w:szCs w:val="20"/>
                <w:color w:val="auto"/>
              </w:rPr>
            </w:pPr>
            <w:r>
              <w:rPr>
                <w:rFonts w:ascii="Arial" w:cs="Arial" w:eastAsia="Arial" w:hAnsi="Arial"/>
                <w:sz w:val="12"/>
                <w:szCs w:val="12"/>
                <w:b w:val="1"/>
                <w:bCs w:val="1"/>
                <w:color w:val="E79B3F"/>
              </w:rPr>
              <w:t>54,572</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E79B3F"/>
              </w:rPr>
              <w:t>582</w:t>
            </w:r>
          </w:p>
        </w:tc>
      </w:tr>
      <w:tr>
        <w:trPr>
          <w:trHeight w:val="20"/>
        </w:trPr>
        <w:tc>
          <w:tcPr>
            <w:tcW w:w="80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60" w:type="dxa"/>
            <w:vAlign w:val="bottom"/>
          </w:tcPr>
          <w:p>
            <w:pPr>
              <w:ind w:left="480"/>
              <w:spacing w:after="0"/>
              <w:rPr>
                <w:sz w:val="20"/>
                <w:szCs w:val="20"/>
                <w:color w:val="auto"/>
              </w:rPr>
            </w:pPr>
            <w:r>
              <w:rPr>
                <w:rFonts w:ascii="Arial" w:cs="Arial" w:eastAsia="Arial" w:hAnsi="Arial"/>
                <w:sz w:val="16"/>
                <w:szCs w:val="16"/>
                <w:b w:val="1"/>
                <w:bCs w:val="1"/>
                <w:color w:val="auto"/>
              </w:rPr>
              <w:t>17.3.</w:t>
            </w:r>
          </w:p>
        </w:tc>
        <w:tc>
          <w:tcPr>
            <w:tcW w:w="7020" w:type="dxa"/>
            <w:vAlign w:val="bottom"/>
          </w:tcPr>
          <w:p>
            <w:pPr>
              <w:ind w:left="80"/>
              <w:spacing w:after="0"/>
              <w:rPr>
                <w:sz w:val="20"/>
                <w:szCs w:val="20"/>
                <w:color w:val="auto"/>
              </w:rPr>
            </w:pPr>
            <w:r>
              <w:rPr>
                <w:rFonts w:ascii="Arial" w:cs="Arial" w:eastAsia="Arial" w:hAnsi="Arial"/>
                <w:sz w:val="16"/>
                <w:szCs w:val="16"/>
                <w:b w:val="1"/>
                <w:bCs w:val="1"/>
                <w:color w:val="auto"/>
              </w:rPr>
              <w:t>Breakdown of other loans and borrowings</w:t>
            </w:r>
          </w:p>
        </w:tc>
        <w:tc>
          <w:tcPr>
            <w:tcW w:w="2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40"/>
        </w:trPr>
        <w:tc>
          <w:tcPr>
            <w:tcW w:w="8080" w:type="dxa"/>
            <w:vAlign w:val="bottom"/>
            <w:gridSpan w:val="2"/>
          </w:tcPr>
          <w:p>
            <w:pPr>
              <w:ind w:left="320"/>
              <w:spacing w:after="0"/>
              <w:rPr>
                <w:sz w:val="20"/>
                <w:szCs w:val="20"/>
                <w:color w:val="auto"/>
              </w:rPr>
            </w:pPr>
            <w:r>
              <w:rPr>
                <w:rFonts w:ascii="Arial" w:cs="Arial" w:eastAsia="Arial" w:hAnsi="Arial"/>
                <w:sz w:val="15"/>
                <w:szCs w:val="15"/>
                <w:color w:val="3C3C3B"/>
              </w:rPr>
              <w:t>Other loans and borrowings consisted of the following:</w:t>
            </w:r>
          </w:p>
        </w:tc>
        <w:tc>
          <w:tcPr>
            <w:tcW w:w="2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9"/>
        </w:trPr>
        <w:tc>
          <w:tcPr>
            <w:tcW w:w="8080" w:type="dxa"/>
            <w:vAlign w:val="bottom"/>
            <w:gridSpan w:val="2"/>
          </w:tcPr>
          <w:p>
            <w:pPr>
              <w:ind w:left="20"/>
              <w:spacing w:after="0"/>
              <w:rPr>
                <w:sz w:val="20"/>
                <w:szCs w:val="20"/>
                <w:color w:val="auto"/>
              </w:rPr>
            </w:pPr>
            <w:r>
              <w:rPr>
                <w:rFonts w:ascii="Arial" w:cs="Arial" w:eastAsia="Arial" w:hAnsi="Arial"/>
                <w:sz w:val="12"/>
                <w:szCs w:val="12"/>
                <w:b w:val="1"/>
                <w:bCs w:val="1"/>
                <w:color w:val="3C3C3B"/>
              </w:rPr>
              <w:t>Other loans and borrowings - Total</w:t>
            </w:r>
          </w:p>
        </w:tc>
        <w:tc>
          <w:tcPr>
            <w:tcW w:w="2120" w:type="dxa"/>
            <w:vAlign w:val="bottom"/>
          </w:tcPr>
          <w:p>
            <w:pPr>
              <w:jc w:val="right"/>
              <w:ind w:right="338"/>
              <w:spacing w:after="0"/>
              <w:rPr>
                <w:sz w:val="20"/>
                <w:szCs w:val="20"/>
                <w:color w:val="auto"/>
              </w:rPr>
            </w:pPr>
            <w:r>
              <w:rPr>
                <w:rFonts w:ascii="Arial" w:cs="Arial" w:eastAsia="Arial" w:hAnsi="Arial"/>
                <w:sz w:val="12"/>
                <w:szCs w:val="12"/>
                <w:b w:val="1"/>
                <w:bCs w:val="1"/>
                <w:color w:val="3C3C3B"/>
              </w:rPr>
              <w:t>As of</w:t>
            </w:r>
          </w:p>
        </w:tc>
        <w:tc>
          <w:tcPr>
            <w:tcW w:w="102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2"/>
        </w:trPr>
        <w:tc>
          <w:tcPr>
            <w:tcW w:w="106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7020" w:type="dxa"/>
            <w:vAlign w:val="bottom"/>
          </w:tcPr>
          <w:p>
            <w:pPr>
              <w:spacing w:after="0"/>
              <w:rPr>
                <w:sz w:val="14"/>
                <w:szCs w:val="14"/>
                <w:color w:val="auto"/>
              </w:rPr>
            </w:pPr>
          </w:p>
        </w:tc>
        <w:tc>
          <w:tcPr>
            <w:tcW w:w="2120" w:type="dxa"/>
            <w:vAlign w:val="bottom"/>
          </w:tcPr>
          <w:p>
            <w:pPr>
              <w:jc w:val="right"/>
              <w:ind w:right="558"/>
              <w:spacing w:after="0"/>
              <w:rPr>
                <w:sz w:val="20"/>
                <w:szCs w:val="20"/>
                <w:color w:val="auto"/>
              </w:rPr>
            </w:pPr>
            <w:r>
              <w:rPr>
                <w:rFonts w:ascii="Arial" w:cs="Arial" w:eastAsia="Arial" w:hAnsi="Arial"/>
                <w:sz w:val="12"/>
                <w:szCs w:val="12"/>
                <w:b w:val="1"/>
                <w:bCs w:val="1"/>
                <w:color w:val="3C3C3B"/>
              </w:rPr>
              <w:t>2024/12/31</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10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9"/>
        </w:trPr>
        <w:tc>
          <w:tcPr>
            <w:tcW w:w="10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Bank loans</w:t>
            </w:r>
          </w:p>
        </w:tc>
        <w:tc>
          <w:tcPr>
            <w:tcW w:w="7020" w:type="dxa"/>
            <w:vAlign w:val="bottom"/>
            <w:tcBorders>
              <w:bottom w:val="single" w:sz="8" w:color="FDF5E7"/>
            </w:tcBorders>
            <w:shd w:val="clear" w:color="auto" w:fill="FDF5E7"/>
          </w:tcPr>
          <w:p>
            <w:pPr>
              <w:spacing w:after="0"/>
              <w:rPr>
                <w:sz w:val="15"/>
                <w:szCs w:val="15"/>
                <w:color w:val="auto"/>
              </w:rPr>
            </w:pPr>
          </w:p>
        </w:tc>
        <w:tc>
          <w:tcPr>
            <w:tcW w:w="2120" w:type="dxa"/>
            <w:vAlign w:val="bottom"/>
            <w:tcBorders>
              <w:bottom w:val="single" w:sz="8" w:color="FDF5E7"/>
            </w:tcBorders>
            <w:shd w:val="clear" w:color="auto" w:fill="FDF5E7"/>
          </w:tcPr>
          <w:p>
            <w:pPr>
              <w:jc w:val="right"/>
              <w:ind w:right="598"/>
              <w:spacing w:after="0"/>
              <w:rPr>
                <w:sz w:val="20"/>
                <w:szCs w:val="20"/>
                <w:color w:val="auto"/>
              </w:rPr>
            </w:pPr>
            <w:r>
              <w:rPr>
                <w:rFonts w:ascii="Arial" w:cs="Arial" w:eastAsia="Arial" w:hAnsi="Arial"/>
                <w:sz w:val="12"/>
                <w:szCs w:val="12"/>
                <w:color w:val="auto"/>
              </w:rPr>
              <w:t>2,496</w:t>
            </w:r>
          </w:p>
        </w:tc>
        <w:tc>
          <w:tcPr>
            <w:tcW w:w="10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2,076</w:t>
            </w:r>
          </w:p>
        </w:tc>
      </w:tr>
      <w:tr>
        <w:trPr>
          <w:trHeight w:val="173"/>
        </w:trPr>
        <w:tc>
          <w:tcPr>
            <w:tcW w:w="8080" w:type="dxa"/>
            <w:vAlign w:val="bottom"/>
            <w:gridSpan w:val="2"/>
          </w:tcPr>
          <w:p>
            <w:pPr>
              <w:ind w:left="20"/>
              <w:spacing w:after="0"/>
              <w:rPr>
                <w:sz w:val="20"/>
                <w:szCs w:val="20"/>
                <w:color w:val="auto"/>
              </w:rPr>
            </w:pPr>
            <w:r>
              <w:rPr>
                <w:rFonts w:ascii="Arial" w:cs="Arial" w:eastAsia="Arial" w:hAnsi="Arial"/>
                <w:sz w:val="12"/>
                <w:szCs w:val="12"/>
                <w:color w:val="3C3C3B"/>
              </w:rPr>
              <w:t>Obligations under leases</w:t>
            </w:r>
          </w:p>
        </w:tc>
        <w:tc>
          <w:tcPr>
            <w:tcW w:w="2120" w:type="dxa"/>
            <w:vAlign w:val="bottom"/>
          </w:tcPr>
          <w:p>
            <w:pPr>
              <w:jc w:val="right"/>
              <w:ind w:right="598"/>
              <w:spacing w:after="0"/>
              <w:rPr>
                <w:sz w:val="20"/>
                <w:szCs w:val="20"/>
                <w:color w:val="auto"/>
              </w:rPr>
            </w:pPr>
            <w:r>
              <w:rPr>
                <w:rFonts w:ascii="Arial" w:cs="Arial" w:eastAsia="Arial" w:hAnsi="Arial"/>
                <w:sz w:val="12"/>
                <w:szCs w:val="12"/>
                <w:color w:val="auto"/>
              </w:rPr>
              <w:t>5,060</w:t>
            </w:r>
          </w:p>
        </w:tc>
        <w:tc>
          <w:tcPr>
            <w:tcW w:w="1020" w:type="dxa"/>
            <w:vAlign w:val="bottom"/>
          </w:tcPr>
          <w:p>
            <w:pPr>
              <w:jc w:val="right"/>
              <w:spacing w:after="0"/>
              <w:rPr>
                <w:sz w:val="20"/>
                <w:szCs w:val="20"/>
                <w:color w:val="auto"/>
              </w:rPr>
            </w:pPr>
            <w:r>
              <w:rPr>
                <w:rFonts w:ascii="Arial" w:cs="Arial" w:eastAsia="Arial" w:hAnsi="Arial"/>
                <w:sz w:val="12"/>
                <w:szCs w:val="12"/>
                <w:color w:val="auto"/>
              </w:rPr>
              <w:t>4,652</w:t>
            </w:r>
          </w:p>
        </w:tc>
      </w:tr>
      <w:tr>
        <w:trPr>
          <w:trHeight w:val="26"/>
        </w:trPr>
        <w:tc>
          <w:tcPr>
            <w:tcW w:w="10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4"/>
        </w:trPr>
        <w:tc>
          <w:tcPr>
            <w:tcW w:w="10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Accrued interests</w:t>
            </w:r>
          </w:p>
        </w:tc>
        <w:tc>
          <w:tcPr>
            <w:tcW w:w="7020" w:type="dxa"/>
            <w:vAlign w:val="bottom"/>
            <w:tcBorders>
              <w:bottom w:val="single" w:sz="8" w:color="FDF5E7"/>
            </w:tcBorders>
            <w:shd w:val="clear" w:color="auto" w:fill="FDF5E7"/>
          </w:tcPr>
          <w:p>
            <w:pPr>
              <w:spacing w:after="0"/>
              <w:rPr>
                <w:sz w:val="17"/>
                <w:szCs w:val="17"/>
                <w:color w:val="auto"/>
              </w:rPr>
            </w:pPr>
          </w:p>
        </w:tc>
        <w:tc>
          <w:tcPr>
            <w:tcW w:w="2120" w:type="dxa"/>
            <w:vAlign w:val="bottom"/>
            <w:tcBorders>
              <w:bottom w:val="single" w:sz="8" w:color="FDF5E7"/>
            </w:tcBorders>
            <w:shd w:val="clear" w:color="auto" w:fill="FDF5E7"/>
          </w:tcPr>
          <w:p>
            <w:pPr>
              <w:jc w:val="right"/>
              <w:ind w:right="598"/>
              <w:spacing w:after="0"/>
              <w:rPr>
                <w:sz w:val="20"/>
                <w:szCs w:val="20"/>
                <w:color w:val="auto"/>
              </w:rPr>
            </w:pPr>
            <w:r>
              <w:rPr>
                <w:rFonts w:ascii="Arial" w:cs="Arial" w:eastAsia="Arial" w:hAnsi="Arial"/>
                <w:sz w:val="12"/>
                <w:szCs w:val="12"/>
                <w:color w:val="auto"/>
              </w:rPr>
              <w:t>5</w:t>
            </w:r>
          </w:p>
        </w:tc>
        <w:tc>
          <w:tcPr>
            <w:tcW w:w="10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4</w:t>
            </w:r>
          </w:p>
        </w:tc>
      </w:tr>
      <w:tr>
        <w:trPr>
          <w:trHeight w:val="172"/>
        </w:trPr>
        <w:tc>
          <w:tcPr>
            <w:tcW w:w="1060" w:type="dxa"/>
            <w:vAlign w:val="bottom"/>
            <w:tcBorders>
              <w:top w:val="single" w:sz="8" w:color="242424"/>
            </w:tcBorders>
          </w:tcPr>
          <w:p>
            <w:pPr>
              <w:ind w:left="20"/>
              <w:spacing w:after="0"/>
              <w:rPr>
                <w:sz w:val="20"/>
                <w:szCs w:val="20"/>
                <w:color w:val="auto"/>
              </w:rPr>
            </w:pPr>
            <w:r>
              <w:rPr>
                <w:rFonts w:ascii="Arial" w:cs="Arial" w:eastAsia="Arial" w:hAnsi="Arial"/>
                <w:sz w:val="12"/>
                <w:szCs w:val="12"/>
                <w:b w:val="1"/>
                <w:bCs w:val="1"/>
                <w:color w:val="E79B3F"/>
              </w:rPr>
              <w:t>TOTAL</w:t>
            </w:r>
          </w:p>
        </w:tc>
        <w:tc>
          <w:tcPr>
            <w:tcW w:w="7020" w:type="dxa"/>
            <w:vAlign w:val="bottom"/>
            <w:tcBorders>
              <w:top w:val="single" w:sz="8" w:color="242424"/>
            </w:tcBorders>
          </w:tcPr>
          <w:p>
            <w:pPr>
              <w:spacing w:after="0"/>
              <w:rPr>
                <w:sz w:val="14"/>
                <w:szCs w:val="14"/>
                <w:color w:val="auto"/>
              </w:rPr>
            </w:pPr>
          </w:p>
        </w:tc>
        <w:tc>
          <w:tcPr>
            <w:tcW w:w="2120" w:type="dxa"/>
            <w:vAlign w:val="bottom"/>
            <w:tcBorders>
              <w:top w:val="single" w:sz="8" w:color="242424"/>
            </w:tcBorders>
          </w:tcPr>
          <w:p>
            <w:pPr>
              <w:jc w:val="right"/>
              <w:ind w:right="598"/>
              <w:spacing w:after="0"/>
              <w:rPr>
                <w:sz w:val="20"/>
                <w:szCs w:val="20"/>
                <w:color w:val="auto"/>
              </w:rPr>
            </w:pPr>
            <w:r>
              <w:rPr>
                <w:rFonts w:ascii="Arial" w:cs="Arial" w:eastAsia="Arial" w:hAnsi="Arial"/>
                <w:sz w:val="12"/>
                <w:szCs w:val="12"/>
                <w:b w:val="1"/>
                <w:bCs w:val="1"/>
                <w:color w:val="E79B3F"/>
              </w:rPr>
              <w:t>7,561</w:t>
            </w:r>
          </w:p>
        </w:tc>
        <w:tc>
          <w:tcPr>
            <w:tcW w:w="1020" w:type="dxa"/>
            <w:vAlign w:val="bottom"/>
            <w:tcBorders>
              <w:top w:val="single" w:sz="8" w:color="242424"/>
            </w:tcBorders>
          </w:tcPr>
          <w:p>
            <w:pPr>
              <w:jc w:val="right"/>
              <w:spacing w:after="0"/>
              <w:rPr>
                <w:sz w:val="20"/>
                <w:szCs w:val="20"/>
                <w:color w:val="auto"/>
              </w:rPr>
            </w:pPr>
            <w:r>
              <w:rPr>
                <w:rFonts w:ascii="Arial" w:cs="Arial" w:eastAsia="Arial" w:hAnsi="Arial"/>
                <w:sz w:val="12"/>
                <w:szCs w:val="12"/>
                <w:b w:val="1"/>
                <w:bCs w:val="1"/>
                <w:color w:val="E79B3F"/>
              </w:rPr>
              <w:t>6,732</w:t>
            </w:r>
          </w:p>
        </w:tc>
      </w:tr>
      <w:tr>
        <w:trPr>
          <w:trHeight w:val="20"/>
        </w:trPr>
        <w:tc>
          <w:tcPr>
            <w:tcW w:w="8080" w:type="dxa"/>
            <w:vAlign w:val="bottom"/>
            <w:tcBorders>
              <w:bottom w:val="single" w:sz="8" w:color="242424"/>
            </w:tcBorders>
            <w:gridSpan w:val="2"/>
          </w:tcPr>
          <w:p>
            <w:pPr>
              <w:spacing w:after="0" w:line="20" w:lineRule="exact"/>
              <w:rPr>
                <w:sz w:val="1"/>
                <w:szCs w:val="1"/>
                <w:color w:val="auto"/>
              </w:rPr>
            </w:pPr>
          </w:p>
        </w:tc>
        <w:tc>
          <w:tcPr>
            <w:tcW w:w="2120" w:type="dxa"/>
            <w:vAlign w:val="bottom"/>
            <w:tcBorders>
              <w:bottom w:val="single" w:sz="8" w:color="242424"/>
            </w:tcBorders>
          </w:tcPr>
          <w:p>
            <w:pPr>
              <w:spacing w:after="0" w:line="20" w:lineRule="exact"/>
              <w:rPr>
                <w:sz w:val="1"/>
                <w:szCs w:val="1"/>
                <w:color w:val="auto"/>
              </w:rPr>
            </w:pPr>
          </w:p>
        </w:tc>
        <w:tc>
          <w:tcPr>
            <w:tcW w:w="1020" w:type="dxa"/>
            <w:vAlign w:val="bottom"/>
            <w:tcBorders>
              <w:bottom w:val="single" w:sz="8" w:color="242424"/>
            </w:tcBorders>
          </w:tcPr>
          <w:p>
            <w:pPr>
              <w:spacing w:after="0" w:line="20" w:lineRule="exact"/>
              <w:rPr>
                <w:sz w:val="1"/>
                <w:szCs w:val="1"/>
                <w:color w:val="auto"/>
              </w:rPr>
            </w:pPr>
          </w:p>
        </w:tc>
      </w:tr>
      <w:tr>
        <w:trPr>
          <w:trHeight w:val="370"/>
        </w:trPr>
        <w:tc>
          <w:tcPr>
            <w:tcW w:w="8080" w:type="dxa"/>
            <w:vAlign w:val="bottom"/>
            <w:gridSpan w:val="2"/>
          </w:tcPr>
          <w:p>
            <w:pPr>
              <w:ind w:left="20"/>
              <w:spacing w:after="0"/>
              <w:rPr>
                <w:sz w:val="20"/>
                <w:szCs w:val="20"/>
                <w:color w:val="auto"/>
              </w:rPr>
            </w:pPr>
            <w:r>
              <w:rPr>
                <w:rFonts w:ascii="Arial" w:cs="Arial" w:eastAsia="Arial" w:hAnsi="Arial"/>
                <w:sz w:val="12"/>
                <w:szCs w:val="12"/>
                <w:b w:val="1"/>
                <w:bCs w:val="1"/>
                <w:color w:val="3C3C3B"/>
              </w:rPr>
              <w:t>Other loans and borrowings - Current</w:t>
            </w:r>
          </w:p>
        </w:tc>
        <w:tc>
          <w:tcPr>
            <w:tcW w:w="2120" w:type="dxa"/>
            <w:vAlign w:val="bottom"/>
          </w:tcPr>
          <w:p>
            <w:pPr>
              <w:jc w:val="right"/>
              <w:ind w:right="338"/>
              <w:spacing w:after="0"/>
              <w:rPr>
                <w:sz w:val="20"/>
                <w:szCs w:val="20"/>
                <w:color w:val="auto"/>
              </w:rPr>
            </w:pPr>
            <w:r>
              <w:rPr>
                <w:rFonts w:ascii="Arial" w:cs="Arial" w:eastAsia="Arial" w:hAnsi="Arial"/>
                <w:sz w:val="12"/>
                <w:szCs w:val="12"/>
                <w:b w:val="1"/>
                <w:bCs w:val="1"/>
                <w:color w:val="3C3C3B"/>
              </w:rPr>
              <w:t>As of</w:t>
            </w:r>
          </w:p>
        </w:tc>
        <w:tc>
          <w:tcPr>
            <w:tcW w:w="102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2"/>
        </w:trPr>
        <w:tc>
          <w:tcPr>
            <w:tcW w:w="106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7020" w:type="dxa"/>
            <w:vAlign w:val="bottom"/>
          </w:tcPr>
          <w:p>
            <w:pPr>
              <w:spacing w:after="0"/>
              <w:rPr>
                <w:sz w:val="14"/>
                <w:szCs w:val="14"/>
                <w:color w:val="auto"/>
              </w:rPr>
            </w:pPr>
          </w:p>
        </w:tc>
        <w:tc>
          <w:tcPr>
            <w:tcW w:w="2120" w:type="dxa"/>
            <w:vAlign w:val="bottom"/>
          </w:tcPr>
          <w:p>
            <w:pPr>
              <w:jc w:val="right"/>
              <w:ind w:right="558"/>
              <w:spacing w:after="0"/>
              <w:rPr>
                <w:sz w:val="20"/>
                <w:szCs w:val="20"/>
                <w:color w:val="auto"/>
              </w:rPr>
            </w:pPr>
            <w:r>
              <w:rPr>
                <w:rFonts w:ascii="Arial" w:cs="Arial" w:eastAsia="Arial" w:hAnsi="Arial"/>
                <w:sz w:val="12"/>
                <w:szCs w:val="12"/>
                <w:b w:val="1"/>
                <w:bCs w:val="1"/>
                <w:color w:val="3C3C3B"/>
              </w:rPr>
              <w:t>2024/12/31</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10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9"/>
        </w:trPr>
        <w:tc>
          <w:tcPr>
            <w:tcW w:w="10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Bank loans</w:t>
            </w:r>
          </w:p>
        </w:tc>
        <w:tc>
          <w:tcPr>
            <w:tcW w:w="7020" w:type="dxa"/>
            <w:vAlign w:val="bottom"/>
            <w:tcBorders>
              <w:bottom w:val="single" w:sz="8" w:color="FDF5E7"/>
            </w:tcBorders>
            <w:shd w:val="clear" w:color="auto" w:fill="FDF5E7"/>
          </w:tcPr>
          <w:p>
            <w:pPr>
              <w:spacing w:after="0"/>
              <w:rPr>
                <w:sz w:val="15"/>
                <w:szCs w:val="15"/>
                <w:color w:val="auto"/>
              </w:rPr>
            </w:pPr>
          </w:p>
        </w:tc>
        <w:tc>
          <w:tcPr>
            <w:tcW w:w="2120" w:type="dxa"/>
            <w:vAlign w:val="bottom"/>
            <w:tcBorders>
              <w:bottom w:val="single" w:sz="8" w:color="FDF5E7"/>
            </w:tcBorders>
            <w:shd w:val="clear" w:color="auto" w:fill="FDF5E7"/>
          </w:tcPr>
          <w:p>
            <w:pPr>
              <w:jc w:val="right"/>
              <w:ind w:right="598"/>
              <w:spacing w:after="0"/>
              <w:rPr>
                <w:sz w:val="20"/>
                <w:szCs w:val="20"/>
                <w:color w:val="auto"/>
              </w:rPr>
            </w:pPr>
            <w:r>
              <w:rPr>
                <w:rFonts w:ascii="Arial" w:cs="Arial" w:eastAsia="Arial" w:hAnsi="Arial"/>
                <w:sz w:val="12"/>
                <w:szCs w:val="12"/>
                <w:color w:val="auto"/>
              </w:rPr>
              <w:t>859</w:t>
            </w:r>
          </w:p>
        </w:tc>
        <w:tc>
          <w:tcPr>
            <w:tcW w:w="10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858</w:t>
            </w:r>
          </w:p>
        </w:tc>
      </w:tr>
      <w:tr>
        <w:trPr>
          <w:trHeight w:val="173"/>
        </w:trPr>
        <w:tc>
          <w:tcPr>
            <w:tcW w:w="8080" w:type="dxa"/>
            <w:vAlign w:val="bottom"/>
            <w:gridSpan w:val="2"/>
          </w:tcPr>
          <w:p>
            <w:pPr>
              <w:ind w:left="20"/>
              <w:spacing w:after="0"/>
              <w:rPr>
                <w:sz w:val="20"/>
                <w:szCs w:val="20"/>
                <w:color w:val="auto"/>
              </w:rPr>
            </w:pPr>
            <w:r>
              <w:rPr>
                <w:rFonts w:ascii="Arial" w:cs="Arial" w:eastAsia="Arial" w:hAnsi="Arial"/>
                <w:sz w:val="12"/>
                <w:szCs w:val="12"/>
                <w:color w:val="3C3C3B"/>
              </w:rPr>
              <w:t>Obligations under leases</w:t>
            </w:r>
          </w:p>
        </w:tc>
        <w:tc>
          <w:tcPr>
            <w:tcW w:w="2120" w:type="dxa"/>
            <w:vAlign w:val="bottom"/>
          </w:tcPr>
          <w:p>
            <w:pPr>
              <w:jc w:val="right"/>
              <w:ind w:right="598"/>
              <w:spacing w:after="0"/>
              <w:rPr>
                <w:sz w:val="20"/>
                <w:szCs w:val="20"/>
                <w:color w:val="auto"/>
              </w:rPr>
            </w:pPr>
            <w:r>
              <w:rPr>
                <w:rFonts w:ascii="Arial" w:cs="Arial" w:eastAsia="Arial" w:hAnsi="Arial"/>
                <w:sz w:val="12"/>
                <w:szCs w:val="12"/>
                <w:color w:val="auto"/>
              </w:rPr>
              <w:t>1,145</w:t>
            </w:r>
          </w:p>
        </w:tc>
        <w:tc>
          <w:tcPr>
            <w:tcW w:w="1020" w:type="dxa"/>
            <w:vAlign w:val="bottom"/>
          </w:tcPr>
          <w:p>
            <w:pPr>
              <w:jc w:val="right"/>
              <w:spacing w:after="0"/>
              <w:rPr>
                <w:sz w:val="20"/>
                <w:szCs w:val="20"/>
                <w:color w:val="auto"/>
              </w:rPr>
            </w:pPr>
            <w:r>
              <w:rPr>
                <w:rFonts w:ascii="Arial" w:cs="Arial" w:eastAsia="Arial" w:hAnsi="Arial"/>
                <w:sz w:val="12"/>
                <w:szCs w:val="12"/>
                <w:color w:val="auto"/>
              </w:rPr>
              <w:t>1,182</w:t>
            </w:r>
          </w:p>
        </w:tc>
      </w:tr>
      <w:tr>
        <w:trPr>
          <w:trHeight w:val="26"/>
        </w:trPr>
        <w:tc>
          <w:tcPr>
            <w:tcW w:w="10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4"/>
        </w:trPr>
        <w:tc>
          <w:tcPr>
            <w:tcW w:w="10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Accrued interests</w:t>
            </w:r>
          </w:p>
        </w:tc>
        <w:tc>
          <w:tcPr>
            <w:tcW w:w="7020" w:type="dxa"/>
            <w:vAlign w:val="bottom"/>
            <w:tcBorders>
              <w:bottom w:val="single" w:sz="8" w:color="FDF5E7"/>
            </w:tcBorders>
            <w:shd w:val="clear" w:color="auto" w:fill="FDF5E7"/>
          </w:tcPr>
          <w:p>
            <w:pPr>
              <w:spacing w:after="0"/>
              <w:rPr>
                <w:sz w:val="17"/>
                <w:szCs w:val="17"/>
                <w:color w:val="auto"/>
              </w:rPr>
            </w:pPr>
          </w:p>
        </w:tc>
        <w:tc>
          <w:tcPr>
            <w:tcW w:w="2120" w:type="dxa"/>
            <w:vAlign w:val="bottom"/>
            <w:tcBorders>
              <w:bottom w:val="single" w:sz="8" w:color="FDF5E7"/>
            </w:tcBorders>
            <w:shd w:val="clear" w:color="auto" w:fill="FDF5E7"/>
          </w:tcPr>
          <w:p>
            <w:pPr>
              <w:jc w:val="right"/>
              <w:ind w:right="598"/>
              <w:spacing w:after="0"/>
              <w:rPr>
                <w:sz w:val="20"/>
                <w:szCs w:val="20"/>
                <w:color w:val="auto"/>
              </w:rPr>
            </w:pPr>
            <w:r>
              <w:rPr>
                <w:rFonts w:ascii="Arial" w:cs="Arial" w:eastAsia="Arial" w:hAnsi="Arial"/>
                <w:sz w:val="12"/>
                <w:szCs w:val="12"/>
                <w:color w:val="auto"/>
              </w:rPr>
              <w:t>5</w:t>
            </w:r>
          </w:p>
        </w:tc>
        <w:tc>
          <w:tcPr>
            <w:tcW w:w="10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4</w:t>
            </w:r>
          </w:p>
        </w:tc>
      </w:tr>
      <w:tr>
        <w:trPr>
          <w:trHeight w:val="172"/>
        </w:trPr>
        <w:tc>
          <w:tcPr>
            <w:tcW w:w="1060" w:type="dxa"/>
            <w:vAlign w:val="bottom"/>
            <w:tcBorders>
              <w:top w:val="single" w:sz="8" w:color="242424"/>
            </w:tcBorders>
          </w:tcPr>
          <w:p>
            <w:pPr>
              <w:ind w:left="20"/>
              <w:spacing w:after="0"/>
              <w:rPr>
                <w:sz w:val="20"/>
                <w:szCs w:val="20"/>
                <w:color w:val="auto"/>
              </w:rPr>
            </w:pPr>
            <w:r>
              <w:rPr>
                <w:rFonts w:ascii="Arial" w:cs="Arial" w:eastAsia="Arial" w:hAnsi="Arial"/>
                <w:sz w:val="12"/>
                <w:szCs w:val="12"/>
                <w:b w:val="1"/>
                <w:bCs w:val="1"/>
                <w:color w:val="E99D25"/>
              </w:rPr>
              <w:t>TOTAL</w:t>
            </w:r>
          </w:p>
        </w:tc>
        <w:tc>
          <w:tcPr>
            <w:tcW w:w="7020" w:type="dxa"/>
            <w:vAlign w:val="bottom"/>
            <w:tcBorders>
              <w:top w:val="single" w:sz="8" w:color="242424"/>
            </w:tcBorders>
          </w:tcPr>
          <w:p>
            <w:pPr>
              <w:spacing w:after="0"/>
              <w:rPr>
                <w:sz w:val="14"/>
                <w:szCs w:val="14"/>
                <w:color w:val="auto"/>
              </w:rPr>
            </w:pPr>
          </w:p>
        </w:tc>
        <w:tc>
          <w:tcPr>
            <w:tcW w:w="2120" w:type="dxa"/>
            <w:vAlign w:val="bottom"/>
            <w:tcBorders>
              <w:top w:val="single" w:sz="8" w:color="242424"/>
            </w:tcBorders>
          </w:tcPr>
          <w:p>
            <w:pPr>
              <w:jc w:val="right"/>
              <w:ind w:right="598"/>
              <w:spacing w:after="0"/>
              <w:rPr>
                <w:sz w:val="20"/>
                <w:szCs w:val="20"/>
                <w:color w:val="auto"/>
              </w:rPr>
            </w:pPr>
            <w:r>
              <w:rPr>
                <w:rFonts w:ascii="Arial" w:cs="Arial" w:eastAsia="Arial" w:hAnsi="Arial"/>
                <w:sz w:val="12"/>
                <w:szCs w:val="12"/>
                <w:b w:val="1"/>
                <w:bCs w:val="1"/>
                <w:color w:val="E79B3F"/>
              </w:rPr>
              <w:t>2,009</w:t>
            </w:r>
          </w:p>
        </w:tc>
        <w:tc>
          <w:tcPr>
            <w:tcW w:w="1020" w:type="dxa"/>
            <w:vAlign w:val="bottom"/>
            <w:tcBorders>
              <w:top w:val="single" w:sz="8" w:color="242424"/>
            </w:tcBorders>
          </w:tcPr>
          <w:p>
            <w:pPr>
              <w:jc w:val="right"/>
              <w:spacing w:after="0"/>
              <w:rPr>
                <w:sz w:val="20"/>
                <w:szCs w:val="20"/>
                <w:color w:val="auto"/>
              </w:rPr>
            </w:pPr>
            <w:r>
              <w:rPr>
                <w:rFonts w:ascii="Arial" w:cs="Arial" w:eastAsia="Arial" w:hAnsi="Arial"/>
                <w:sz w:val="12"/>
                <w:szCs w:val="12"/>
                <w:b w:val="1"/>
                <w:bCs w:val="1"/>
                <w:color w:val="E99D25"/>
              </w:rPr>
              <w:t>2,044</w:t>
            </w:r>
          </w:p>
        </w:tc>
      </w:tr>
      <w:tr>
        <w:trPr>
          <w:trHeight w:val="20"/>
        </w:trPr>
        <w:tc>
          <w:tcPr>
            <w:tcW w:w="8080" w:type="dxa"/>
            <w:vAlign w:val="bottom"/>
            <w:tcBorders>
              <w:bottom w:val="single" w:sz="8" w:color="242424"/>
            </w:tcBorders>
            <w:gridSpan w:val="2"/>
          </w:tcPr>
          <w:p>
            <w:pPr>
              <w:spacing w:after="0" w:line="20" w:lineRule="exact"/>
              <w:rPr>
                <w:sz w:val="1"/>
                <w:szCs w:val="1"/>
                <w:color w:val="auto"/>
              </w:rPr>
            </w:pPr>
          </w:p>
        </w:tc>
        <w:tc>
          <w:tcPr>
            <w:tcW w:w="2120" w:type="dxa"/>
            <w:vAlign w:val="bottom"/>
            <w:tcBorders>
              <w:bottom w:val="single" w:sz="8" w:color="242424"/>
            </w:tcBorders>
          </w:tcPr>
          <w:p>
            <w:pPr>
              <w:spacing w:after="0" w:line="20" w:lineRule="exact"/>
              <w:rPr>
                <w:sz w:val="1"/>
                <w:szCs w:val="1"/>
                <w:color w:val="auto"/>
              </w:rPr>
            </w:pPr>
          </w:p>
        </w:tc>
        <w:tc>
          <w:tcPr>
            <w:tcW w:w="1020" w:type="dxa"/>
            <w:vAlign w:val="bottom"/>
            <w:tcBorders>
              <w:bottom w:val="single" w:sz="8" w:color="242424"/>
            </w:tcBorders>
          </w:tcPr>
          <w:p>
            <w:pPr>
              <w:spacing w:after="0" w:line="20" w:lineRule="exact"/>
              <w:rPr>
                <w:sz w:val="1"/>
                <w:szCs w:val="1"/>
                <w:color w:val="auto"/>
              </w:rPr>
            </w:pPr>
          </w:p>
        </w:tc>
      </w:tr>
      <w:tr>
        <w:trPr>
          <w:trHeight w:val="357"/>
        </w:trPr>
        <w:tc>
          <w:tcPr>
            <w:tcW w:w="8080" w:type="dxa"/>
            <w:vAlign w:val="bottom"/>
            <w:gridSpan w:val="2"/>
          </w:tcPr>
          <w:p>
            <w:pPr>
              <w:ind w:left="20"/>
              <w:spacing w:after="0"/>
              <w:rPr>
                <w:sz w:val="20"/>
                <w:szCs w:val="20"/>
                <w:color w:val="auto"/>
              </w:rPr>
            </w:pPr>
            <w:r>
              <w:rPr>
                <w:rFonts w:ascii="Arial" w:cs="Arial" w:eastAsia="Arial" w:hAnsi="Arial"/>
                <w:sz w:val="12"/>
                <w:szCs w:val="12"/>
                <w:b w:val="1"/>
                <w:bCs w:val="1"/>
                <w:color w:val="3C3C3B"/>
              </w:rPr>
              <w:t>Other loans and borrowings - Non current</w:t>
            </w:r>
          </w:p>
        </w:tc>
        <w:tc>
          <w:tcPr>
            <w:tcW w:w="2120" w:type="dxa"/>
            <w:vAlign w:val="bottom"/>
          </w:tcPr>
          <w:p>
            <w:pPr>
              <w:jc w:val="right"/>
              <w:ind w:right="338"/>
              <w:spacing w:after="0"/>
              <w:rPr>
                <w:sz w:val="20"/>
                <w:szCs w:val="20"/>
                <w:color w:val="auto"/>
              </w:rPr>
            </w:pPr>
            <w:r>
              <w:rPr>
                <w:rFonts w:ascii="Arial" w:cs="Arial" w:eastAsia="Arial" w:hAnsi="Arial"/>
                <w:sz w:val="12"/>
                <w:szCs w:val="12"/>
                <w:b w:val="1"/>
                <w:bCs w:val="1"/>
                <w:color w:val="3C3C3B"/>
              </w:rPr>
              <w:t>As of</w:t>
            </w:r>
          </w:p>
        </w:tc>
        <w:tc>
          <w:tcPr>
            <w:tcW w:w="102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2"/>
        </w:trPr>
        <w:tc>
          <w:tcPr>
            <w:tcW w:w="106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7020" w:type="dxa"/>
            <w:vAlign w:val="bottom"/>
          </w:tcPr>
          <w:p>
            <w:pPr>
              <w:spacing w:after="0"/>
              <w:rPr>
                <w:sz w:val="14"/>
                <w:szCs w:val="14"/>
                <w:color w:val="auto"/>
              </w:rPr>
            </w:pPr>
          </w:p>
        </w:tc>
        <w:tc>
          <w:tcPr>
            <w:tcW w:w="2120" w:type="dxa"/>
            <w:vAlign w:val="bottom"/>
          </w:tcPr>
          <w:p>
            <w:pPr>
              <w:jc w:val="right"/>
              <w:ind w:right="558"/>
              <w:spacing w:after="0"/>
              <w:rPr>
                <w:sz w:val="20"/>
                <w:szCs w:val="20"/>
                <w:color w:val="auto"/>
              </w:rPr>
            </w:pPr>
            <w:r>
              <w:rPr>
                <w:rFonts w:ascii="Arial" w:cs="Arial" w:eastAsia="Arial" w:hAnsi="Arial"/>
                <w:sz w:val="12"/>
                <w:szCs w:val="12"/>
                <w:b w:val="1"/>
                <w:bCs w:val="1"/>
                <w:color w:val="3C3C3B"/>
              </w:rPr>
              <w:t>2024/12/31</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10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9"/>
        </w:trPr>
        <w:tc>
          <w:tcPr>
            <w:tcW w:w="10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Bank loans</w:t>
            </w:r>
          </w:p>
        </w:tc>
        <w:tc>
          <w:tcPr>
            <w:tcW w:w="7020" w:type="dxa"/>
            <w:vAlign w:val="bottom"/>
            <w:tcBorders>
              <w:bottom w:val="single" w:sz="8" w:color="FDF5E7"/>
            </w:tcBorders>
            <w:shd w:val="clear" w:color="auto" w:fill="FDF5E7"/>
          </w:tcPr>
          <w:p>
            <w:pPr>
              <w:spacing w:after="0"/>
              <w:rPr>
                <w:sz w:val="15"/>
                <w:szCs w:val="15"/>
                <w:color w:val="auto"/>
              </w:rPr>
            </w:pPr>
          </w:p>
        </w:tc>
        <w:tc>
          <w:tcPr>
            <w:tcW w:w="2120" w:type="dxa"/>
            <w:vAlign w:val="bottom"/>
            <w:tcBorders>
              <w:bottom w:val="single" w:sz="8" w:color="FDF5E7"/>
            </w:tcBorders>
            <w:shd w:val="clear" w:color="auto" w:fill="FDF5E7"/>
          </w:tcPr>
          <w:p>
            <w:pPr>
              <w:jc w:val="right"/>
              <w:ind w:right="598"/>
              <w:spacing w:after="0"/>
              <w:rPr>
                <w:sz w:val="20"/>
                <w:szCs w:val="20"/>
                <w:color w:val="auto"/>
              </w:rPr>
            </w:pPr>
            <w:r>
              <w:rPr>
                <w:rFonts w:ascii="Arial" w:cs="Arial" w:eastAsia="Arial" w:hAnsi="Arial"/>
                <w:sz w:val="12"/>
                <w:szCs w:val="12"/>
                <w:color w:val="auto"/>
              </w:rPr>
              <w:t>1,637</w:t>
            </w:r>
          </w:p>
        </w:tc>
        <w:tc>
          <w:tcPr>
            <w:tcW w:w="10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1,218</w:t>
            </w:r>
          </w:p>
        </w:tc>
      </w:tr>
      <w:tr>
        <w:trPr>
          <w:trHeight w:val="173"/>
        </w:trPr>
        <w:tc>
          <w:tcPr>
            <w:tcW w:w="8080" w:type="dxa"/>
            <w:vAlign w:val="bottom"/>
            <w:gridSpan w:val="2"/>
          </w:tcPr>
          <w:p>
            <w:pPr>
              <w:ind w:left="20"/>
              <w:spacing w:after="0"/>
              <w:rPr>
                <w:sz w:val="20"/>
                <w:szCs w:val="20"/>
                <w:color w:val="auto"/>
              </w:rPr>
            </w:pPr>
            <w:r>
              <w:rPr>
                <w:rFonts w:ascii="Arial" w:cs="Arial" w:eastAsia="Arial" w:hAnsi="Arial"/>
                <w:sz w:val="12"/>
                <w:szCs w:val="12"/>
                <w:color w:val="3C3C3B"/>
              </w:rPr>
              <w:t>Obligations under leases</w:t>
            </w:r>
          </w:p>
        </w:tc>
        <w:tc>
          <w:tcPr>
            <w:tcW w:w="2120" w:type="dxa"/>
            <w:vAlign w:val="bottom"/>
          </w:tcPr>
          <w:p>
            <w:pPr>
              <w:jc w:val="right"/>
              <w:ind w:right="598"/>
              <w:spacing w:after="0"/>
              <w:rPr>
                <w:sz w:val="20"/>
                <w:szCs w:val="20"/>
                <w:color w:val="auto"/>
              </w:rPr>
            </w:pPr>
            <w:r>
              <w:rPr>
                <w:rFonts w:ascii="Arial" w:cs="Arial" w:eastAsia="Arial" w:hAnsi="Arial"/>
                <w:sz w:val="12"/>
                <w:szCs w:val="12"/>
                <w:color w:val="auto"/>
              </w:rPr>
              <w:t>3,915</w:t>
            </w:r>
          </w:p>
        </w:tc>
        <w:tc>
          <w:tcPr>
            <w:tcW w:w="1020" w:type="dxa"/>
            <w:vAlign w:val="bottom"/>
          </w:tcPr>
          <w:p>
            <w:pPr>
              <w:jc w:val="right"/>
              <w:spacing w:after="0"/>
              <w:rPr>
                <w:sz w:val="20"/>
                <w:szCs w:val="20"/>
                <w:color w:val="auto"/>
              </w:rPr>
            </w:pPr>
            <w:r>
              <w:rPr>
                <w:rFonts w:ascii="Arial" w:cs="Arial" w:eastAsia="Arial" w:hAnsi="Arial"/>
                <w:sz w:val="12"/>
                <w:szCs w:val="12"/>
                <w:color w:val="auto"/>
              </w:rPr>
              <w:t>3,470</w:t>
            </w:r>
          </w:p>
        </w:tc>
      </w:tr>
      <w:tr>
        <w:trPr>
          <w:trHeight w:val="26"/>
        </w:trPr>
        <w:tc>
          <w:tcPr>
            <w:tcW w:w="10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4"/>
        </w:trPr>
        <w:tc>
          <w:tcPr>
            <w:tcW w:w="10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Accrued interests</w:t>
            </w:r>
          </w:p>
        </w:tc>
        <w:tc>
          <w:tcPr>
            <w:tcW w:w="7020" w:type="dxa"/>
            <w:vAlign w:val="bottom"/>
            <w:tcBorders>
              <w:bottom w:val="single" w:sz="8" w:color="FDF5E7"/>
            </w:tcBorders>
            <w:shd w:val="clear" w:color="auto" w:fill="FDF5E7"/>
          </w:tcPr>
          <w:p>
            <w:pPr>
              <w:spacing w:after="0"/>
              <w:rPr>
                <w:sz w:val="17"/>
                <w:szCs w:val="17"/>
                <w:color w:val="auto"/>
              </w:rPr>
            </w:pPr>
          </w:p>
        </w:tc>
        <w:tc>
          <w:tcPr>
            <w:tcW w:w="2120" w:type="dxa"/>
            <w:vAlign w:val="bottom"/>
            <w:tcBorders>
              <w:bottom w:val="single" w:sz="8" w:color="FDF5E7"/>
            </w:tcBorders>
            <w:shd w:val="clear" w:color="auto" w:fill="FDF5E7"/>
          </w:tcPr>
          <w:p>
            <w:pPr>
              <w:jc w:val="right"/>
              <w:ind w:right="59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w:t>
            </w:r>
          </w:p>
        </w:tc>
      </w:tr>
      <w:tr>
        <w:trPr>
          <w:trHeight w:val="172"/>
        </w:trPr>
        <w:tc>
          <w:tcPr>
            <w:tcW w:w="1060" w:type="dxa"/>
            <w:vAlign w:val="bottom"/>
            <w:tcBorders>
              <w:top w:val="single" w:sz="8" w:color="242424"/>
            </w:tcBorders>
          </w:tcPr>
          <w:p>
            <w:pPr>
              <w:ind w:left="20"/>
              <w:spacing w:after="0"/>
              <w:rPr>
                <w:sz w:val="20"/>
                <w:szCs w:val="20"/>
                <w:color w:val="auto"/>
              </w:rPr>
            </w:pPr>
            <w:r>
              <w:rPr>
                <w:rFonts w:ascii="Arial" w:cs="Arial" w:eastAsia="Arial" w:hAnsi="Arial"/>
                <w:sz w:val="12"/>
                <w:szCs w:val="12"/>
                <w:b w:val="1"/>
                <w:bCs w:val="1"/>
                <w:color w:val="E79B3F"/>
              </w:rPr>
              <w:t>TOTAL</w:t>
            </w:r>
          </w:p>
        </w:tc>
        <w:tc>
          <w:tcPr>
            <w:tcW w:w="7020" w:type="dxa"/>
            <w:vAlign w:val="bottom"/>
            <w:tcBorders>
              <w:top w:val="single" w:sz="8" w:color="242424"/>
            </w:tcBorders>
          </w:tcPr>
          <w:p>
            <w:pPr>
              <w:spacing w:after="0"/>
              <w:rPr>
                <w:sz w:val="14"/>
                <w:szCs w:val="14"/>
                <w:color w:val="auto"/>
              </w:rPr>
            </w:pPr>
          </w:p>
        </w:tc>
        <w:tc>
          <w:tcPr>
            <w:tcW w:w="2120" w:type="dxa"/>
            <w:vAlign w:val="bottom"/>
            <w:tcBorders>
              <w:top w:val="single" w:sz="8" w:color="242424"/>
            </w:tcBorders>
          </w:tcPr>
          <w:p>
            <w:pPr>
              <w:jc w:val="right"/>
              <w:ind w:right="598"/>
              <w:spacing w:after="0"/>
              <w:rPr>
                <w:sz w:val="20"/>
                <w:szCs w:val="20"/>
                <w:color w:val="auto"/>
              </w:rPr>
            </w:pPr>
            <w:r>
              <w:rPr>
                <w:rFonts w:ascii="Arial" w:cs="Arial" w:eastAsia="Arial" w:hAnsi="Arial"/>
                <w:sz w:val="12"/>
                <w:szCs w:val="12"/>
                <w:b w:val="1"/>
                <w:bCs w:val="1"/>
                <w:color w:val="E79B3F"/>
              </w:rPr>
              <w:t>5,552</w:t>
            </w:r>
          </w:p>
        </w:tc>
        <w:tc>
          <w:tcPr>
            <w:tcW w:w="1020" w:type="dxa"/>
            <w:vAlign w:val="bottom"/>
            <w:tcBorders>
              <w:top w:val="single" w:sz="8" w:color="242424"/>
            </w:tcBorders>
          </w:tcPr>
          <w:p>
            <w:pPr>
              <w:jc w:val="right"/>
              <w:spacing w:after="0"/>
              <w:rPr>
                <w:sz w:val="20"/>
                <w:szCs w:val="20"/>
                <w:color w:val="auto"/>
              </w:rPr>
            </w:pPr>
            <w:r>
              <w:rPr>
                <w:rFonts w:ascii="Arial" w:cs="Arial" w:eastAsia="Arial" w:hAnsi="Arial"/>
                <w:sz w:val="12"/>
                <w:szCs w:val="12"/>
                <w:b w:val="1"/>
                <w:bCs w:val="1"/>
                <w:color w:val="E79B3F"/>
              </w:rPr>
              <w:t>4,688</w:t>
            </w:r>
          </w:p>
        </w:tc>
      </w:tr>
      <w:tr>
        <w:trPr>
          <w:trHeight w:val="20"/>
        </w:trPr>
        <w:tc>
          <w:tcPr>
            <w:tcW w:w="1060" w:type="dxa"/>
            <w:vAlign w:val="bottom"/>
            <w:tcBorders>
              <w:bottom w:val="single" w:sz="8" w:color="242424"/>
            </w:tcBorders>
          </w:tcPr>
          <w:p>
            <w:pPr>
              <w:spacing w:after="0" w:line="20" w:lineRule="exact"/>
              <w:rPr>
                <w:sz w:val="1"/>
                <w:szCs w:val="1"/>
                <w:color w:val="auto"/>
              </w:rPr>
            </w:pPr>
          </w:p>
        </w:tc>
        <w:tc>
          <w:tcPr>
            <w:tcW w:w="7020" w:type="dxa"/>
            <w:vAlign w:val="bottom"/>
            <w:tcBorders>
              <w:bottom w:val="single" w:sz="8" w:color="242424"/>
            </w:tcBorders>
          </w:tcPr>
          <w:p>
            <w:pPr>
              <w:spacing w:after="0" w:line="20" w:lineRule="exact"/>
              <w:rPr>
                <w:sz w:val="1"/>
                <w:szCs w:val="1"/>
                <w:color w:val="auto"/>
              </w:rPr>
            </w:pPr>
          </w:p>
        </w:tc>
        <w:tc>
          <w:tcPr>
            <w:tcW w:w="2120" w:type="dxa"/>
            <w:vAlign w:val="bottom"/>
            <w:tcBorders>
              <w:bottom w:val="single" w:sz="8" w:color="242424"/>
            </w:tcBorders>
          </w:tcPr>
          <w:p>
            <w:pPr>
              <w:spacing w:after="0" w:line="20" w:lineRule="exact"/>
              <w:rPr>
                <w:sz w:val="1"/>
                <w:szCs w:val="1"/>
                <w:color w:val="auto"/>
              </w:rPr>
            </w:pPr>
          </w:p>
        </w:tc>
        <w:tc>
          <w:tcPr>
            <w:tcW w:w="1020" w:type="dxa"/>
            <w:vAlign w:val="bottom"/>
            <w:tcBorders>
              <w:bottom w:val="single" w:sz="8" w:color="242424"/>
            </w:tcBorders>
          </w:tcPr>
          <w:p>
            <w:pPr>
              <w:spacing w:after="0" w:line="20" w:lineRule="exact"/>
              <w:rPr>
                <w:sz w:val="1"/>
                <w:szCs w:val="1"/>
                <w:color w:val="auto"/>
              </w:rPr>
            </w:pPr>
          </w:p>
        </w:tc>
      </w:tr>
    </w:tbl>
    <w:p>
      <w:pPr>
        <w:spacing w:after="0" w:line="340"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Bank Loans</w:t>
      </w:r>
    </w:p>
    <w:p>
      <w:pPr>
        <w:spacing w:after="0" w:line="27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5"/>
          <w:szCs w:val="15"/>
          <w:color w:val="3C3C3B"/>
        </w:rPr>
        <w:t>See Note 20.2.2 "Bank loans" in the Notes to the Consolidated Financial Statements in the Company's 2024 20-F filing for a detailed description of the Group's bank loans and related accounting treatment.</w:t>
      </w:r>
    </w:p>
    <w:p>
      <w:pPr>
        <w:spacing w:after="0" w:line="286"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8"/>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37</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43" w:name="page44"/>
    <w:bookmarkEnd w:id="43"/>
    <w:p>
      <w:pPr>
        <w:ind w:left="320"/>
        <w:spacing w:after="0"/>
        <w:rPr>
          <w:sz w:val="20"/>
          <w:szCs w:val="20"/>
          <w:color w:val="auto"/>
        </w:rPr>
      </w:pPr>
      <w:r>
        <w:rPr>
          <w:rFonts w:ascii="Arial" w:cs="Arial" w:eastAsia="Arial" w:hAnsi="Arial"/>
          <w:sz w:val="15"/>
          <w:szCs w:val="15"/>
          <w:b w:val="1"/>
          <w:bCs w:val="1"/>
          <w:u w:val="single" w:color="auto"/>
          <w:color w:val="3C3C3B"/>
        </w:rPr>
        <w:t>Balances by loan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Bank loans consisted of the following as of December 31, 2024 and June 30, 2025:</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ind w:left="20"/>
              <w:spacing w:after="0"/>
              <w:rPr>
                <w:sz w:val="20"/>
                <w:szCs w:val="20"/>
                <w:color w:val="auto"/>
              </w:rPr>
            </w:pPr>
            <w:r>
              <w:rPr>
                <w:rFonts w:ascii="Arial" w:cs="Arial" w:eastAsia="Arial" w:hAnsi="Arial"/>
                <w:sz w:val="12"/>
                <w:szCs w:val="12"/>
                <w:b w:val="1"/>
                <w:bCs w:val="1"/>
                <w:color w:val="3C3C3B"/>
              </w:rPr>
              <w:t>Bank loans</w:t>
            </w:r>
          </w:p>
        </w:tc>
        <w:tc>
          <w:tcPr>
            <w:tcW w:w="1920" w:type="dxa"/>
            <w:vAlign w:val="bottom"/>
          </w:tcPr>
          <w:p>
            <w:pPr>
              <w:jc w:val="right"/>
              <w:ind w:right="158"/>
              <w:spacing w:after="0"/>
              <w:rPr>
                <w:sz w:val="20"/>
                <w:szCs w:val="20"/>
                <w:color w:val="auto"/>
              </w:rPr>
            </w:pPr>
            <w:r>
              <w:rPr>
                <w:rFonts w:ascii="Arial" w:cs="Arial" w:eastAsia="Arial" w:hAnsi="Arial"/>
                <w:sz w:val="12"/>
                <w:szCs w:val="12"/>
                <w:b w:val="1"/>
                <w:bCs w:val="1"/>
                <w:color w:val="3C3C3B"/>
              </w:rPr>
              <w:t>Loan</w:t>
            </w:r>
          </w:p>
        </w:tc>
        <w:tc>
          <w:tcPr>
            <w:tcW w:w="1000" w:type="dxa"/>
            <w:vAlign w:val="bottom"/>
          </w:tcPr>
          <w:p>
            <w:pPr>
              <w:jc w:val="right"/>
              <w:ind w:right="278"/>
              <w:spacing w:after="0"/>
              <w:rPr>
                <w:sz w:val="20"/>
                <w:szCs w:val="20"/>
                <w:color w:val="auto"/>
              </w:rPr>
            </w:pPr>
            <w:r>
              <w:rPr>
                <w:rFonts w:ascii="Arial" w:cs="Arial" w:eastAsia="Arial" w:hAnsi="Arial"/>
                <w:sz w:val="12"/>
                <w:szCs w:val="12"/>
                <w:b w:val="1"/>
                <w:bCs w:val="1"/>
                <w:color w:val="3C3C3B"/>
              </w:rPr>
              <w:t>Facility</w:t>
            </w:r>
          </w:p>
        </w:tc>
        <w:tc>
          <w:tcPr>
            <w:tcW w:w="980" w:type="dxa"/>
            <w:vAlign w:val="bottom"/>
          </w:tcPr>
          <w:p>
            <w:pPr>
              <w:jc w:val="right"/>
              <w:ind w:right="138"/>
              <w:spacing w:after="0"/>
              <w:rPr>
                <w:sz w:val="20"/>
                <w:szCs w:val="20"/>
                <w:color w:val="auto"/>
              </w:rPr>
            </w:pPr>
            <w:r>
              <w:rPr>
                <w:rFonts w:ascii="Arial" w:cs="Arial" w:eastAsia="Arial" w:hAnsi="Arial"/>
                <w:sz w:val="12"/>
                <w:szCs w:val="12"/>
                <w:b w:val="1"/>
                <w:bCs w:val="1"/>
                <w:color w:val="3C3C3B"/>
              </w:rPr>
              <w:t>Interest</w:t>
            </w:r>
          </w:p>
        </w:tc>
        <w:tc>
          <w:tcPr>
            <w:tcW w:w="1420" w:type="dxa"/>
            <w:vAlign w:val="bottom"/>
            <w:vMerge w:val="restart"/>
          </w:tcPr>
          <w:p>
            <w:pPr>
              <w:jc w:val="right"/>
              <w:ind w:right="278"/>
              <w:spacing w:after="0"/>
              <w:rPr>
                <w:sz w:val="20"/>
                <w:szCs w:val="20"/>
                <w:color w:val="auto"/>
              </w:rPr>
            </w:pPr>
            <w:r>
              <w:rPr>
                <w:rFonts w:ascii="Arial" w:cs="Arial" w:eastAsia="Arial" w:hAnsi="Arial"/>
                <w:sz w:val="12"/>
                <w:szCs w:val="12"/>
                <w:b w:val="1"/>
                <w:bCs w:val="1"/>
                <w:color w:val="E99D25"/>
              </w:rPr>
              <w:t>Available As of</w:t>
            </w:r>
          </w:p>
        </w:tc>
        <w:tc>
          <w:tcPr>
            <w:tcW w:w="1160" w:type="dxa"/>
            <w:vAlign w:val="bottom"/>
          </w:tcPr>
          <w:p>
            <w:pPr>
              <w:jc w:val="right"/>
              <w:ind w:right="38"/>
              <w:spacing w:after="0"/>
              <w:rPr>
                <w:sz w:val="20"/>
                <w:szCs w:val="20"/>
                <w:color w:val="auto"/>
              </w:rPr>
            </w:pPr>
            <w:r>
              <w:rPr>
                <w:rFonts w:ascii="Arial" w:cs="Arial" w:eastAsia="Arial" w:hAnsi="Arial"/>
                <w:sz w:val="12"/>
                <w:szCs w:val="12"/>
                <w:b w:val="1"/>
                <w:bCs w:val="1"/>
                <w:color w:val="3C3C3B"/>
              </w:rPr>
              <w:t>Installments</w:t>
            </w:r>
          </w:p>
        </w:tc>
        <w:tc>
          <w:tcPr>
            <w:tcW w:w="126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3C3C3B"/>
              </w:rPr>
              <w:t>Outstanding As of</w:t>
            </w:r>
          </w:p>
        </w:tc>
        <w:tc>
          <w:tcPr>
            <w:tcW w:w="1180" w:type="dxa"/>
            <w:vAlign w:val="bottom"/>
            <w:vMerge w:val="restart"/>
          </w:tcPr>
          <w:p>
            <w:pPr>
              <w:jc w:val="right"/>
              <w:spacing w:after="0"/>
              <w:rPr>
                <w:sz w:val="20"/>
                <w:szCs w:val="20"/>
                <w:color w:val="auto"/>
              </w:rPr>
            </w:pPr>
            <w:r>
              <w:rPr>
                <w:rFonts w:ascii="Arial" w:cs="Arial" w:eastAsia="Arial" w:hAnsi="Arial"/>
                <w:sz w:val="12"/>
                <w:szCs w:val="12"/>
                <w:b w:val="1"/>
                <w:bCs w:val="1"/>
                <w:color w:val="E99D25"/>
              </w:rPr>
              <w:t>Outstanding As of</w:t>
            </w:r>
          </w:p>
        </w:tc>
        <w:tc>
          <w:tcPr>
            <w:tcW w:w="0" w:type="dxa"/>
            <w:vAlign w:val="bottom"/>
          </w:tcPr>
          <w:p>
            <w:pPr>
              <w:spacing w:after="0"/>
              <w:rPr>
                <w:sz w:val="1"/>
                <w:szCs w:val="1"/>
                <w:color w:val="auto"/>
              </w:rPr>
            </w:pPr>
          </w:p>
        </w:tc>
      </w:tr>
      <w:tr>
        <w:trPr>
          <w:trHeight w:val="29"/>
        </w:trPr>
        <w:tc>
          <w:tcPr>
            <w:tcW w:w="2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30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1920" w:type="dxa"/>
            <w:vAlign w:val="bottom"/>
          </w:tcPr>
          <w:p>
            <w:pPr>
              <w:jc w:val="right"/>
              <w:ind w:right="158"/>
              <w:spacing w:after="0"/>
              <w:rPr>
                <w:sz w:val="20"/>
                <w:szCs w:val="20"/>
                <w:color w:val="auto"/>
              </w:rPr>
            </w:pPr>
            <w:r>
              <w:rPr>
                <w:rFonts w:ascii="Arial" w:cs="Arial" w:eastAsia="Arial" w:hAnsi="Arial"/>
                <w:sz w:val="12"/>
                <w:szCs w:val="12"/>
                <w:b w:val="1"/>
                <w:bCs w:val="1"/>
                <w:color w:val="3C3C3B"/>
              </w:rPr>
              <w:t>date</w:t>
            </w:r>
          </w:p>
        </w:tc>
        <w:tc>
          <w:tcPr>
            <w:tcW w:w="1000" w:type="dxa"/>
            <w:vAlign w:val="bottom"/>
          </w:tcPr>
          <w:p>
            <w:pPr>
              <w:jc w:val="right"/>
              <w:ind w:right="278"/>
              <w:spacing w:after="0"/>
              <w:rPr>
                <w:sz w:val="20"/>
                <w:szCs w:val="20"/>
                <w:color w:val="auto"/>
              </w:rPr>
            </w:pPr>
            <w:r>
              <w:rPr>
                <w:rFonts w:ascii="Arial" w:cs="Arial" w:eastAsia="Arial" w:hAnsi="Arial"/>
                <w:sz w:val="12"/>
                <w:szCs w:val="12"/>
                <w:b w:val="1"/>
                <w:bCs w:val="1"/>
                <w:color w:val="3C3C3B"/>
              </w:rPr>
              <w:t>size</w:t>
            </w:r>
          </w:p>
        </w:tc>
        <w:tc>
          <w:tcPr>
            <w:tcW w:w="980" w:type="dxa"/>
            <w:vAlign w:val="bottom"/>
          </w:tcPr>
          <w:p>
            <w:pPr>
              <w:jc w:val="right"/>
              <w:ind w:right="138"/>
              <w:spacing w:after="0"/>
              <w:rPr>
                <w:sz w:val="20"/>
                <w:szCs w:val="20"/>
                <w:color w:val="auto"/>
              </w:rPr>
            </w:pPr>
            <w:r>
              <w:rPr>
                <w:rFonts w:ascii="Arial" w:cs="Arial" w:eastAsia="Arial" w:hAnsi="Arial"/>
                <w:sz w:val="12"/>
                <w:szCs w:val="12"/>
                <w:b w:val="1"/>
                <w:bCs w:val="1"/>
                <w:color w:val="3C3C3B"/>
              </w:rPr>
              <w:t>rate</w:t>
            </w:r>
          </w:p>
        </w:tc>
        <w:tc>
          <w:tcPr>
            <w:tcW w:w="1420" w:type="dxa"/>
            <w:vAlign w:val="bottom"/>
          </w:tcPr>
          <w:p>
            <w:pPr>
              <w:jc w:val="right"/>
              <w:ind w:right="278"/>
              <w:spacing w:after="0"/>
              <w:rPr>
                <w:sz w:val="20"/>
                <w:szCs w:val="20"/>
                <w:color w:val="auto"/>
              </w:rPr>
            </w:pPr>
            <w:r>
              <w:rPr>
                <w:rFonts w:ascii="Arial" w:cs="Arial" w:eastAsia="Arial" w:hAnsi="Arial"/>
                <w:sz w:val="12"/>
                <w:szCs w:val="12"/>
                <w:b w:val="1"/>
                <w:bCs w:val="1"/>
                <w:color w:val="E99D25"/>
              </w:rPr>
              <w:t>2025/06/30</w:t>
            </w:r>
          </w:p>
        </w:tc>
        <w:tc>
          <w:tcPr>
            <w:tcW w:w="1160" w:type="dxa"/>
            <w:vAlign w:val="bottom"/>
          </w:tcPr>
          <w:p>
            <w:pPr>
              <w:spacing w:after="0"/>
              <w:rPr>
                <w:sz w:val="14"/>
                <w:szCs w:val="14"/>
                <w:color w:val="auto"/>
              </w:rPr>
            </w:pPr>
          </w:p>
        </w:tc>
        <w:tc>
          <w:tcPr>
            <w:tcW w:w="1260" w:type="dxa"/>
            <w:vAlign w:val="bottom"/>
          </w:tcPr>
          <w:p>
            <w:pPr>
              <w:jc w:val="right"/>
              <w:ind w:right="18"/>
              <w:spacing w:after="0"/>
              <w:rPr>
                <w:sz w:val="20"/>
                <w:szCs w:val="20"/>
                <w:color w:val="auto"/>
              </w:rPr>
            </w:pPr>
            <w:r>
              <w:rPr>
                <w:rFonts w:ascii="Arial" w:cs="Arial" w:eastAsia="Arial" w:hAnsi="Arial"/>
                <w:sz w:val="12"/>
                <w:szCs w:val="12"/>
                <w:b w:val="1"/>
                <w:bCs w:val="1"/>
                <w:color w:val="3C3C3B"/>
              </w:rPr>
              <w:t>2024/12/31</w:t>
            </w:r>
          </w:p>
        </w:tc>
        <w:tc>
          <w:tcPr>
            <w:tcW w:w="118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230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AUTRES</w:t>
            </w:r>
          </w:p>
        </w:tc>
        <w:tc>
          <w:tcPr>
            <w:tcW w:w="1920" w:type="dxa"/>
            <w:vAlign w:val="bottom"/>
            <w:tcBorders>
              <w:bottom w:val="single" w:sz="8" w:color="FDF5E7"/>
            </w:tcBorders>
            <w:shd w:val="clear" w:color="auto" w:fill="FDF5E7"/>
          </w:tcPr>
          <w:p>
            <w:pPr>
              <w:jc w:val="right"/>
              <w:ind w:right="15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FDF5E7"/>
            </w:tcBorders>
            <w:shd w:val="clear" w:color="auto" w:fill="FDF5E7"/>
          </w:tcPr>
          <w:p>
            <w:pPr>
              <w:jc w:val="right"/>
              <w:ind w:right="318"/>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FDF5E7"/>
            </w:tcBorders>
            <w:shd w:val="clear" w:color="auto" w:fill="FDF5E7"/>
          </w:tcPr>
          <w:p>
            <w:pPr>
              <w:jc w:val="right"/>
              <w:ind w:right="138"/>
              <w:spacing w:after="0"/>
              <w:rPr>
                <w:sz w:val="20"/>
                <w:szCs w:val="20"/>
                <w:color w:val="auto"/>
              </w:rPr>
            </w:pPr>
            <w:r>
              <w:rPr>
                <w:rFonts w:ascii="Arial" w:cs="Arial" w:eastAsia="Arial" w:hAnsi="Arial"/>
                <w:sz w:val="12"/>
                <w:szCs w:val="12"/>
                <w:color w:val="auto"/>
              </w:rPr>
              <w:t>— %</w:t>
            </w:r>
          </w:p>
        </w:tc>
        <w:tc>
          <w:tcPr>
            <w:tcW w:w="1420" w:type="dxa"/>
            <w:vAlign w:val="bottom"/>
            <w:tcBorders>
              <w:bottom w:val="single" w:sz="8" w:color="FDF5E7"/>
            </w:tcBorders>
            <w:shd w:val="clear" w:color="auto" w:fill="FDF5E7"/>
          </w:tcPr>
          <w:p>
            <w:pPr>
              <w:ind w:left="90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FDF5E7"/>
            </w:tcBorders>
            <w:shd w:val="clear" w:color="auto" w:fill="FDF5E7"/>
          </w:tcPr>
          <w:p>
            <w:pPr>
              <w:jc w:val="right"/>
              <w:ind w:right="78"/>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FDF5E7"/>
            </w:tcBorders>
            <w:shd w:val="clear" w:color="auto" w:fill="FDF5E7"/>
          </w:tcPr>
          <w:p>
            <w:pPr>
              <w:jc w:val="right"/>
              <w:ind w:right="78"/>
              <w:spacing w:after="0"/>
              <w:rPr>
                <w:sz w:val="20"/>
                <w:szCs w:val="20"/>
                <w:color w:val="auto"/>
              </w:rPr>
            </w:pPr>
            <w:r>
              <w:rPr>
                <w:rFonts w:ascii="Arial" w:cs="Arial" w:eastAsia="Arial" w:hAnsi="Arial"/>
                <w:sz w:val="12"/>
                <w:szCs w:val="12"/>
                <w:color w:val="auto"/>
              </w:rPr>
              <w:t>9</w:t>
            </w:r>
          </w:p>
        </w:tc>
        <w:tc>
          <w:tcPr>
            <w:tcW w:w="118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73"/>
        </w:trPr>
        <w:tc>
          <w:tcPr>
            <w:tcW w:w="2300" w:type="dxa"/>
            <w:vAlign w:val="bottom"/>
          </w:tcPr>
          <w:p>
            <w:pPr>
              <w:ind w:left="20"/>
              <w:spacing w:after="0"/>
              <w:rPr>
                <w:sz w:val="20"/>
                <w:szCs w:val="20"/>
                <w:color w:val="auto"/>
              </w:rPr>
            </w:pPr>
            <w:r>
              <w:rPr>
                <w:rFonts w:ascii="Arial" w:cs="Arial" w:eastAsia="Arial" w:hAnsi="Arial"/>
                <w:sz w:val="12"/>
                <w:szCs w:val="12"/>
                <w:color w:val="3C3C3B"/>
              </w:rPr>
              <w:t>BPI PGE</w:t>
            </w:r>
          </w:p>
        </w:tc>
        <w:tc>
          <w:tcPr>
            <w:tcW w:w="1920" w:type="dxa"/>
            <w:vAlign w:val="bottom"/>
          </w:tcPr>
          <w:p>
            <w:pPr>
              <w:jc w:val="right"/>
              <w:ind w:right="158"/>
              <w:spacing w:after="0"/>
              <w:rPr>
                <w:sz w:val="20"/>
                <w:szCs w:val="20"/>
                <w:color w:val="auto"/>
              </w:rPr>
            </w:pPr>
            <w:r>
              <w:rPr>
                <w:rFonts w:ascii="Arial" w:cs="Arial" w:eastAsia="Arial" w:hAnsi="Arial"/>
                <w:sz w:val="12"/>
                <w:szCs w:val="12"/>
                <w:color w:val="auto"/>
              </w:rPr>
              <w:t>July 2021</w:t>
            </w:r>
          </w:p>
        </w:tc>
        <w:tc>
          <w:tcPr>
            <w:tcW w:w="1000" w:type="dxa"/>
            <w:vAlign w:val="bottom"/>
          </w:tcPr>
          <w:p>
            <w:pPr>
              <w:jc w:val="right"/>
              <w:ind w:right="318"/>
              <w:spacing w:after="0"/>
              <w:rPr>
                <w:sz w:val="20"/>
                <w:szCs w:val="20"/>
                <w:color w:val="auto"/>
              </w:rPr>
            </w:pPr>
            <w:r>
              <w:rPr>
                <w:rFonts w:ascii="Arial" w:cs="Arial" w:eastAsia="Arial" w:hAnsi="Arial"/>
                <w:sz w:val="12"/>
                <w:szCs w:val="12"/>
                <w:color w:val="auto"/>
              </w:rPr>
              <w:t>2,000</w:t>
            </w:r>
          </w:p>
        </w:tc>
        <w:tc>
          <w:tcPr>
            <w:tcW w:w="980" w:type="dxa"/>
            <w:vAlign w:val="bottom"/>
          </w:tcPr>
          <w:p>
            <w:pPr>
              <w:jc w:val="right"/>
              <w:ind w:right="138"/>
              <w:spacing w:after="0"/>
              <w:rPr>
                <w:sz w:val="20"/>
                <w:szCs w:val="20"/>
                <w:color w:val="auto"/>
              </w:rPr>
            </w:pPr>
            <w:r>
              <w:rPr>
                <w:rFonts w:ascii="Arial" w:cs="Arial" w:eastAsia="Arial" w:hAnsi="Arial"/>
                <w:sz w:val="12"/>
                <w:szCs w:val="12"/>
                <w:color w:val="auto"/>
              </w:rPr>
              <w:t>2.25 %</w:t>
            </w:r>
          </w:p>
        </w:tc>
        <w:tc>
          <w:tcPr>
            <w:tcW w:w="1420" w:type="dxa"/>
            <w:vAlign w:val="bottom"/>
          </w:tcPr>
          <w:p>
            <w:pPr>
              <w:ind w:left="90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38"/>
              <w:spacing w:after="0"/>
              <w:rPr>
                <w:sz w:val="20"/>
                <w:szCs w:val="20"/>
                <w:color w:val="auto"/>
              </w:rPr>
            </w:pPr>
            <w:r>
              <w:rPr>
                <w:rFonts w:ascii="Arial" w:cs="Arial" w:eastAsia="Arial" w:hAnsi="Arial"/>
                <w:sz w:val="12"/>
                <w:szCs w:val="12"/>
                <w:color w:val="auto"/>
              </w:rPr>
              <w:t>16 quarterly</w:t>
            </w:r>
          </w:p>
        </w:tc>
        <w:tc>
          <w:tcPr>
            <w:tcW w:w="1260" w:type="dxa"/>
            <w:vAlign w:val="bottom"/>
          </w:tcPr>
          <w:p>
            <w:pPr>
              <w:jc w:val="right"/>
              <w:ind w:right="78"/>
              <w:spacing w:after="0"/>
              <w:rPr>
                <w:sz w:val="20"/>
                <w:szCs w:val="20"/>
                <w:color w:val="auto"/>
              </w:rPr>
            </w:pPr>
            <w:r>
              <w:rPr>
                <w:rFonts w:ascii="Arial" w:cs="Arial" w:eastAsia="Arial" w:hAnsi="Arial"/>
                <w:sz w:val="12"/>
                <w:szCs w:val="12"/>
                <w:color w:val="auto"/>
              </w:rPr>
              <w:t>1,100</w:t>
            </w:r>
          </w:p>
        </w:tc>
        <w:tc>
          <w:tcPr>
            <w:tcW w:w="1180" w:type="dxa"/>
            <w:vAlign w:val="bottom"/>
          </w:tcPr>
          <w:p>
            <w:pPr>
              <w:jc w:val="right"/>
              <w:spacing w:after="0"/>
              <w:rPr>
                <w:sz w:val="20"/>
                <w:szCs w:val="20"/>
                <w:color w:val="auto"/>
              </w:rPr>
            </w:pPr>
            <w:r>
              <w:rPr>
                <w:rFonts w:ascii="Arial" w:cs="Arial" w:eastAsia="Arial" w:hAnsi="Arial"/>
                <w:sz w:val="12"/>
                <w:szCs w:val="12"/>
                <w:color w:val="auto"/>
              </w:rPr>
              <w:t>900</w:t>
            </w:r>
          </w:p>
        </w:tc>
        <w:tc>
          <w:tcPr>
            <w:tcW w:w="0" w:type="dxa"/>
            <w:vAlign w:val="bottom"/>
          </w:tcPr>
          <w:p>
            <w:pPr>
              <w:spacing w:after="0"/>
              <w:rPr>
                <w:sz w:val="1"/>
                <w:szCs w:val="1"/>
                <w:color w:val="auto"/>
              </w:rPr>
            </w:pPr>
          </w:p>
        </w:tc>
      </w:tr>
      <w:tr>
        <w:trPr>
          <w:trHeight w:val="26"/>
        </w:trPr>
        <w:tc>
          <w:tcPr>
            <w:tcW w:w="2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30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BPI PRÊT TAUX BONIFIE</w:t>
            </w:r>
          </w:p>
        </w:tc>
        <w:tc>
          <w:tcPr>
            <w:tcW w:w="1920" w:type="dxa"/>
            <w:vAlign w:val="bottom"/>
            <w:tcBorders>
              <w:bottom w:val="single" w:sz="8" w:color="FDF5E7"/>
            </w:tcBorders>
            <w:shd w:val="clear" w:color="auto" w:fill="FDF5E7"/>
          </w:tcPr>
          <w:p>
            <w:pPr>
              <w:jc w:val="right"/>
              <w:ind w:right="158"/>
              <w:spacing w:after="0"/>
              <w:rPr>
                <w:sz w:val="20"/>
                <w:szCs w:val="20"/>
                <w:color w:val="auto"/>
              </w:rPr>
            </w:pPr>
            <w:r>
              <w:rPr>
                <w:rFonts w:ascii="Arial" w:cs="Arial" w:eastAsia="Arial" w:hAnsi="Arial"/>
                <w:sz w:val="12"/>
                <w:szCs w:val="12"/>
                <w:color w:val="auto"/>
              </w:rPr>
              <w:t>November 2021</w:t>
            </w:r>
          </w:p>
        </w:tc>
        <w:tc>
          <w:tcPr>
            <w:tcW w:w="1000" w:type="dxa"/>
            <w:vAlign w:val="bottom"/>
            <w:tcBorders>
              <w:bottom w:val="single" w:sz="8" w:color="FDF5E7"/>
            </w:tcBorders>
            <w:shd w:val="clear" w:color="auto" w:fill="FDF5E7"/>
          </w:tcPr>
          <w:p>
            <w:pPr>
              <w:jc w:val="right"/>
              <w:ind w:right="318"/>
              <w:spacing w:after="0"/>
              <w:rPr>
                <w:sz w:val="20"/>
                <w:szCs w:val="20"/>
                <w:color w:val="auto"/>
              </w:rPr>
            </w:pPr>
            <w:r>
              <w:rPr>
                <w:rFonts w:ascii="Arial" w:cs="Arial" w:eastAsia="Arial" w:hAnsi="Arial"/>
                <w:sz w:val="12"/>
                <w:szCs w:val="12"/>
                <w:color w:val="auto"/>
              </w:rPr>
              <w:t>2,250</w:t>
            </w:r>
          </w:p>
        </w:tc>
        <w:tc>
          <w:tcPr>
            <w:tcW w:w="980" w:type="dxa"/>
            <w:vAlign w:val="bottom"/>
            <w:tcBorders>
              <w:bottom w:val="single" w:sz="8" w:color="FDF5E7"/>
            </w:tcBorders>
            <w:shd w:val="clear" w:color="auto" w:fill="FDF5E7"/>
          </w:tcPr>
          <w:p>
            <w:pPr>
              <w:jc w:val="right"/>
              <w:ind w:right="138"/>
              <w:spacing w:after="0"/>
              <w:rPr>
                <w:sz w:val="20"/>
                <w:szCs w:val="20"/>
                <w:color w:val="auto"/>
              </w:rPr>
            </w:pPr>
            <w:r>
              <w:rPr>
                <w:rFonts w:ascii="Arial" w:cs="Arial" w:eastAsia="Arial" w:hAnsi="Arial"/>
                <w:sz w:val="12"/>
                <w:szCs w:val="12"/>
                <w:color w:val="auto"/>
              </w:rPr>
              <w:t>2.25 %</w:t>
            </w:r>
          </w:p>
        </w:tc>
        <w:tc>
          <w:tcPr>
            <w:tcW w:w="1420" w:type="dxa"/>
            <w:vAlign w:val="bottom"/>
            <w:tcBorders>
              <w:bottom w:val="single" w:sz="8" w:color="FDF5E7"/>
            </w:tcBorders>
            <w:shd w:val="clear" w:color="auto" w:fill="FDF5E7"/>
          </w:tcPr>
          <w:p>
            <w:pPr>
              <w:ind w:left="90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FDF5E7"/>
            </w:tcBorders>
            <w:shd w:val="clear" w:color="auto" w:fill="FDF5E7"/>
          </w:tcPr>
          <w:p>
            <w:pPr>
              <w:jc w:val="right"/>
              <w:ind w:right="38"/>
              <w:spacing w:after="0"/>
              <w:rPr>
                <w:sz w:val="20"/>
                <w:szCs w:val="20"/>
                <w:color w:val="auto"/>
              </w:rPr>
            </w:pPr>
            <w:r>
              <w:rPr>
                <w:rFonts w:ascii="Arial" w:cs="Arial" w:eastAsia="Arial" w:hAnsi="Arial"/>
                <w:sz w:val="12"/>
                <w:szCs w:val="12"/>
                <w:color w:val="auto"/>
              </w:rPr>
              <w:t>20 quarterly</w:t>
            </w:r>
          </w:p>
        </w:tc>
        <w:tc>
          <w:tcPr>
            <w:tcW w:w="1260" w:type="dxa"/>
            <w:vAlign w:val="bottom"/>
            <w:tcBorders>
              <w:bottom w:val="single" w:sz="8" w:color="FDF5E7"/>
            </w:tcBorders>
            <w:shd w:val="clear" w:color="auto" w:fill="FDF5E7"/>
          </w:tcPr>
          <w:p>
            <w:pPr>
              <w:jc w:val="right"/>
              <w:ind w:right="78"/>
              <w:spacing w:after="0"/>
              <w:rPr>
                <w:sz w:val="20"/>
                <w:szCs w:val="20"/>
                <w:color w:val="auto"/>
              </w:rPr>
            </w:pPr>
            <w:r>
              <w:rPr>
                <w:rFonts w:ascii="Arial" w:cs="Arial" w:eastAsia="Arial" w:hAnsi="Arial"/>
                <w:sz w:val="12"/>
                <w:szCs w:val="12"/>
                <w:color w:val="auto"/>
              </w:rPr>
              <w:t>1,380</w:t>
            </w:r>
          </w:p>
        </w:tc>
        <w:tc>
          <w:tcPr>
            <w:tcW w:w="118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1,157</w:t>
            </w:r>
          </w:p>
        </w:tc>
        <w:tc>
          <w:tcPr>
            <w:tcW w:w="0" w:type="dxa"/>
            <w:vAlign w:val="bottom"/>
          </w:tcPr>
          <w:p>
            <w:pPr>
              <w:spacing w:after="0"/>
              <w:rPr>
                <w:sz w:val="1"/>
                <w:szCs w:val="1"/>
                <w:color w:val="auto"/>
              </w:rPr>
            </w:pPr>
          </w:p>
        </w:tc>
      </w:tr>
      <w:tr>
        <w:trPr>
          <w:trHeight w:val="172"/>
        </w:trPr>
        <w:tc>
          <w:tcPr>
            <w:tcW w:w="230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E79B3F"/>
              </w:rPr>
              <w:t>TOTAL</w:t>
            </w:r>
          </w:p>
        </w:tc>
        <w:tc>
          <w:tcPr>
            <w:tcW w:w="19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b w:val="1"/>
                <w:bCs w:val="1"/>
                <w:color w:val="E79B3F"/>
              </w:rPr>
              <w:t>2,489</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E79B3F"/>
              </w:rPr>
              <w:t>2,076</w:t>
            </w: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60" w:type="dxa"/>
            <w:vAlign w:val="bottom"/>
          </w:tcPr>
          <w:p>
            <w:pPr>
              <w:ind w:left="480"/>
              <w:spacing w:after="0"/>
              <w:rPr>
                <w:sz w:val="20"/>
                <w:szCs w:val="20"/>
                <w:color w:val="auto"/>
              </w:rPr>
            </w:pPr>
            <w:r>
              <w:rPr>
                <w:rFonts w:ascii="Arial" w:cs="Arial" w:eastAsia="Arial" w:hAnsi="Arial"/>
                <w:sz w:val="16"/>
                <w:szCs w:val="16"/>
                <w:b w:val="1"/>
                <w:bCs w:val="1"/>
                <w:color w:val="auto"/>
              </w:rPr>
              <w:t>17.4</w:t>
            </w:r>
          </w:p>
        </w:tc>
        <w:tc>
          <w:tcPr>
            <w:tcW w:w="2540" w:type="dxa"/>
            <w:vAlign w:val="bottom"/>
          </w:tcPr>
          <w:p>
            <w:pPr>
              <w:ind w:left="80"/>
              <w:spacing w:after="0"/>
              <w:rPr>
                <w:sz w:val="20"/>
                <w:szCs w:val="20"/>
                <w:color w:val="auto"/>
              </w:rPr>
            </w:pPr>
            <w:r>
              <w:rPr>
                <w:rFonts w:ascii="Arial" w:cs="Arial" w:eastAsia="Arial" w:hAnsi="Arial"/>
                <w:sz w:val="16"/>
                <w:szCs w:val="16"/>
                <w:b w:val="1"/>
                <w:bCs w:val="1"/>
                <w:color w:val="auto"/>
              </w:rPr>
              <w:t>Maturities of financial liabilities</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452"/>
        </w:trPr>
        <w:tc>
          <w:tcPr>
            <w:tcW w:w="3600" w:type="dxa"/>
            <w:vAlign w:val="bottom"/>
            <w:gridSpan w:val="2"/>
          </w:tcPr>
          <w:p>
            <w:pPr>
              <w:ind w:left="20"/>
              <w:spacing w:after="0"/>
              <w:rPr>
                <w:sz w:val="20"/>
                <w:szCs w:val="20"/>
                <w:color w:val="auto"/>
              </w:rPr>
            </w:pPr>
            <w:r>
              <w:rPr>
                <w:rFonts w:ascii="Arial" w:cs="Arial" w:eastAsia="Arial" w:hAnsi="Arial"/>
                <w:sz w:val="12"/>
                <w:szCs w:val="12"/>
                <w:b w:val="1"/>
                <w:bCs w:val="1"/>
                <w:color w:val="3C3C3B"/>
              </w:rPr>
              <w:t>Maturity of financial liabilities</w:t>
            </w:r>
          </w:p>
        </w:tc>
        <w:tc>
          <w:tcPr>
            <w:tcW w:w="1000" w:type="dxa"/>
            <w:vAlign w:val="bottom"/>
          </w:tcPr>
          <w:p>
            <w:pPr>
              <w:jc w:val="right"/>
              <w:ind w:right="218"/>
              <w:spacing w:after="0"/>
              <w:rPr>
                <w:sz w:val="20"/>
                <w:szCs w:val="20"/>
                <w:color w:val="auto"/>
              </w:rPr>
            </w:pPr>
            <w:r>
              <w:rPr>
                <w:rFonts w:ascii="Arial" w:cs="Arial" w:eastAsia="Arial" w:hAnsi="Arial"/>
                <w:sz w:val="12"/>
                <w:szCs w:val="12"/>
                <w:b w:val="1"/>
                <w:bCs w:val="1"/>
                <w:color w:val="E99D25"/>
              </w:rPr>
              <w:t>As of</w:t>
            </w:r>
          </w:p>
        </w:tc>
        <w:tc>
          <w:tcPr>
            <w:tcW w:w="1140" w:type="dxa"/>
            <w:vAlign w:val="bottom"/>
          </w:tcPr>
          <w:p>
            <w:pPr>
              <w:jc w:val="right"/>
              <w:ind w:right="218"/>
              <w:spacing w:after="0"/>
              <w:rPr>
                <w:sz w:val="20"/>
                <w:szCs w:val="20"/>
                <w:color w:val="auto"/>
              </w:rPr>
            </w:pPr>
            <w:r>
              <w:rPr>
                <w:rFonts w:ascii="Arial" w:cs="Arial" w:eastAsia="Arial" w:hAnsi="Arial"/>
                <w:sz w:val="12"/>
                <w:szCs w:val="12"/>
                <w:b w:val="1"/>
                <w:bCs w:val="1"/>
                <w:color w:val="3C3C3B"/>
              </w:rPr>
              <w:t>Less than</w:t>
            </w:r>
          </w:p>
        </w:tc>
        <w:tc>
          <w:tcPr>
            <w:tcW w:w="1140" w:type="dxa"/>
            <w:vAlign w:val="bottom"/>
          </w:tcPr>
          <w:p>
            <w:pPr>
              <w:jc w:val="right"/>
              <w:ind w:right="218"/>
              <w:spacing w:after="0"/>
              <w:rPr>
                <w:sz w:val="20"/>
                <w:szCs w:val="20"/>
                <w:color w:val="auto"/>
              </w:rPr>
            </w:pPr>
            <w:r>
              <w:rPr>
                <w:rFonts w:ascii="Arial" w:cs="Arial" w:eastAsia="Arial" w:hAnsi="Arial"/>
                <w:sz w:val="12"/>
                <w:szCs w:val="12"/>
                <w:b w:val="1"/>
                <w:bCs w:val="1"/>
                <w:color w:val="3C3C3B"/>
              </w:rPr>
              <w:t>Less than</w:t>
            </w:r>
          </w:p>
        </w:tc>
        <w:tc>
          <w:tcPr>
            <w:tcW w:w="1160" w:type="dxa"/>
            <w:vAlign w:val="bottom"/>
          </w:tcPr>
          <w:p>
            <w:pPr>
              <w:jc w:val="right"/>
              <w:ind w:right="218"/>
              <w:spacing w:after="0"/>
              <w:rPr>
                <w:sz w:val="20"/>
                <w:szCs w:val="20"/>
                <w:color w:val="auto"/>
              </w:rPr>
            </w:pPr>
            <w:r>
              <w:rPr>
                <w:rFonts w:ascii="Arial" w:cs="Arial" w:eastAsia="Arial" w:hAnsi="Arial"/>
                <w:sz w:val="12"/>
                <w:szCs w:val="12"/>
                <w:b w:val="1"/>
                <w:bCs w:val="1"/>
                <w:color w:val="3C3C3B"/>
              </w:rPr>
              <w:t>Less than</w:t>
            </w:r>
          </w:p>
        </w:tc>
        <w:tc>
          <w:tcPr>
            <w:tcW w:w="1160" w:type="dxa"/>
            <w:vAlign w:val="bottom"/>
          </w:tcPr>
          <w:p>
            <w:pPr>
              <w:jc w:val="right"/>
              <w:ind w:right="238"/>
              <w:spacing w:after="0"/>
              <w:rPr>
                <w:sz w:val="20"/>
                <w:szCs w:val="20"/>
                <w:color w:val="auto"/>
              </w:rPr>
            </w:pPr>
            <w:r>
              <w:rPr>
                <w:rFonts w:ascii="Arial" w:cs="Arial" w:eastAsia="Arial" w:hAnsi="Arial"/>
                <w:sz w:val="12"/>
                <w:szCs w:val="12"/>
                <w:b w:val="1"/>
                <w:bCs w:val="1"/>
                <w:color w:val="3C3C3B"/>
              </w:rPr>
              <w:t>Less than</w:t>
            </w:r>
          </w:p>
        </w:tc>
        <w:tc>
          <w:tcPr>
            <w:tcW w:w="1140" w:type="dxa"/>
            <w:vAlign w:val="bottom"/>
          </w:tcPr>
          <w:p>
            <w:pPr>
              <w:jc w:val="right"/>
              <w:ind w:right="218"/>
              <w:spacing w:after="0"/>
              <w:rPr>
                <w:sz w:val="20"/>
                <w:szCs w:val="20"/>
                <w:color w:val="auto"/>
              </w:rPr>
            </w:pPr>
            <w:r>
              <w:rPr>
                <w:rFonts w:ascii="Arial" w:cs="Arial" w:eastAsia="Arial" w:hAnsi="Arial"/>
                <w:sz w:val="12"/>
                <w:szCs w:val="12"/>
                <w:b w:val="1"/>
                <w:bCs w:val="1"/>
                <w:color w:val="3C3C3B"/>
              </w:rPr>
              <w:t>Less than</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3C3C3B"/>
              </w:rPr>
              <w:t>More than</w:t>
            </w:r>
          </w:p>
        </w:tc>
      </w:tr>
      <w:tr>
        <w:trPr>
          <w:trHeight w:val="199"/>
        </w:trPr>
        <w:tc>
          <w:tcPr>
            <w:tcW w:w="106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2540" w:type="dxa"/>
            <w:vAlign w:val="bottom"/>
          </w:tcPr>
          <w:p>
            <w:pPr>
              <w:spacing w:after="0"/>
              <w:rPr>
                <w:sz w:val="17"/>
                <w:szCs w:val="17"/>
                <w:color w:val="auto"/>
              </w:rPr>
            </w:pPr>
          </w:p>
        </w:tc>
        <w:tc>
          <w:tcPr>
            <w:tcW w:w="1000" w:type="dxa"/>
            <w:vAlign w:val="bottom"/>
          </w:tcPr>
          <w:p>
            <w:pPr>
              <w:jc w:val="right"/>
              <w:ind w:right="218"/>
              <w:spacing w:after="0"/>
              <w:rPr>
                <w:sz w:val="20"/>
                <w:szCs w:val="20"/>
                <w:color w:val="auto"/>
              </w:rPr>
            </w:pPr>
            <w:r>
              <w:rPr>
                <w:rFonts w:ascii="Arial" w:cs="Arial" w:eastAsia="Arial" w:hAnsi="Arial"/>
                <w:sz w:val="12"/>
                <w:szCs w:val="12"/>
                <w:b w:val="1"/>
                <w:bCs w:val="1"/>
                <w:color w:val="E99D25"/>
              </w:rPr>
              <w:t>2025/06/30</w:t>
            </w:r>
          </w:p>
        </w:tc>
        <w:tc>
          <w:tcPr>
            <w:tcW w:w="1140" w:type="dxa"/>
            <w:vAlign w:val="bottom"/>
          </w:tcPr>
          <w:p>
            <w:pPr>
              <w:jc w:val="right"/>
              <w:ind w:right="218"/>
              <w:spacing w:after="0"/>
              <w:rPr>
                <w:sz w:val="20"/>
                <w:szCs w:val="20"/>
                <w:color w:val="auto"/>
              </w:rPr>
            </w:pPr>
            <w:r>
              <w:rPr>
                <w:rFonts w:ascii="Arial" w:cs="Arial" w:eastAsia="Arial" w:hAnsi="Arial"/>
                <w:sz w:val="12"/>
                <w:szCs w:val="12"/>
                <w:b w:val="1"/>
                <w:bCs w:val="1"/>
                <w:color w:val="3C3C3B"/>
              </w:rPr>
              <w:t>1 year</w:t>
            </w:r>
          </w:p>
        </w:tc>
        <w:tc>
          <w:tcPr>
            <w:tcW w:w="1140" w:type="dxa"/>
            <w:vAlign w:val="bottom"/>
          </w:tcPr>
          <w:p>
            <w:pPr>
              <w:jc w:val="right"/>
              <w:ind w:right="218"/>
              <w:spacing w:after="0"/>
              <w:rPr>
                <w:sz w:val="20"/>
                <w:szCs w:val="20"/>
                <w:color w:val="auto"/>
              </w:rPr>
            </w:pPr>
            <w:r>
              <w:rPr>
                <w:rFonts w:ascii="Arial" w:cs="Arial" w:eastAsia="Arial" w:hAnsi="Arial"/>
                <w:sz w:val="12"/>
                <w:szCs w:val="12"/>
                <w:b w:val="1"/>
                <w:bCs w:val="1"/>
                <w:color w:val="3C3C3B"/>
              </w:rPr>
              <w:t>2 years</w:t>
            </w:r>
          </w:p>
        </w:tc>
        <w:tc>
          <w:tcPr>
            <w:tcW w:w="1160" w:type="dxa"/>
            <w:vAlign w:val="bottom"/>
          </w:tcPr>
          <w:p>
            <w:pPr>
              <w:jc w:val="right"/>
              <w:ind w:right="218"/>
              <w:spacing w:after="0"/>
              <w:rPr>
                <w:sz w:val="20"/>
                <w:szCs w:val="20"/>
                <w:color w:val="auto"/>
              </w:rPr>
            </w:pPr>
            <w:r>
              <w:rPr>
                <w:rFonts w:ascii="Arial" w:cs="Arial" w:eastAsia="Arial" w:hAnsi="Arial"/>
                <w:sz w:val="12"/>
                <w:szCs w:val="12"/>
                <w:b w:val="1"/>
                <w:bCs w:val="1"/>
                <w:color w:val="3C3C3B"/>
              </w:rPr>
              <w:t>3 years</w:t>
            </w:r>
          </w:p>
        </w:tc>
        <w:tc>
          <w:tcPr>
            <w:tcW w:w="1160" w:type="dxa"/>
            <w:vAlign w:val="bottom"/>
          </w:tcPr>
          <w:p>
            <w:pPr>
              <w:jc w:val="right"/>
              <w:ind w:right="238"/>
              <w:spacing w:after="0"/>
              <w:rPr>
                <w:sz w:val="20"/>
                <w:szCs w:val="20"/>
                <w:color w:val="auto"/>
              </w:rPr>
            </w:pPr>
            <w:r>
              <w:rPr>
                <w:rFonts w:ascii="Arial" w:cs="Arial" w:eastAsia="Arial" w:hAnsi="Arial"/>
                <w:sz w:val="12"/>
                <w:szCs w:val="12"/>
                <w:b w:val="1"/>
                <w:bCs w:val="1"/>
                <w:color w:val="3C3C3B"/>
              </w:rPr>
              <w:t>4 years</w:t>
            </w:r>
          </w:p>
        </w:tc>
        <w:tc>
          <w:tcPr>
            <w:tcW w:w="1140" w:type="dxa"/>
            <w:vAlign w:val="bottom"/>
          </w:tcPr>
          <w:p>
            <w:pPr>
              <w:jc w:val="right"/>
              <w:ind w:right="218"/>
              <w:spacing w:after="0"/>
              <w:rPr>
                <w:sz w:val="20"/>
                <w:szCs w:val="20"/>
                <w:color w:val="auto"/>
              </w:rPr>
            </w:pPr>
            <w:r>
              <w:rPr>
                <w:rFonts w:ascii="Arial" w:cs="Arial" w:eastAsia="Arial" w:hAnsi="Arial"/>
                <w:sz w:val="12"/>
                <w:szCs w:val="12"/>
                <w:b w:val="1"/>
                <w:bCs w:val="1"/>
                <w:color w:val="3C3C3B"/>
              </w:rPr>
              <w:t>5 years</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3C3C3B"/>
              </w:rPr>
              <w:t>5 years</w:t>
            </w:r>
          </w:p>
        </w:tc>
      </w:tr>
      <w:tr>
        <w:trPr>
          <w:trHeight w:val="20"/>
        </w:trPr>
        <w:tc>
          <w:tcPr>
            <w:tcW w:w="10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9"/>
        </w:trPr>
        <w:tc>
          <w:tcPr>
            <w:tcW w:w="10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Convertible loans</w:t>
            </w:r>
          </w:p>
        </w:tc>
        <w:tc>
          <w:tcPr>
            <w:tcW w:w="2540" w:type="dxa"/>
            <w:vAlign w:val="bottom"/>
            <w:tcBorders>
              <w:bottom w:val="single" w:sz="8" w:color="FDF5E7"/>
            </w:tcBorders>
            <w:shd w:val="clear" w:color="auto" w:fill="FDF5E7"/>
          </w:tcPr>
          <w:p>
            <w:pPr>
              <w:spacing w:after="0"/>
              <w:rPr>
                <w:sz w:val="15"/>
                <w:szCs w:val="15"/>
                <w:color w:val="auto"/>
              </w:rPr>
            </w:pPr>
          </w:p>
        </w:tc>
        <w:tc>
          <w:tcPr>
            <w:tcW w:w="100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591</w:t>
            </w:r>
          </w:p>
        </w:tc>
        <w:tc>
          <w:tcPr>
            <w:tcW w:w="114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591</w:t>
            </w:r>
          </w:p>
        </w:tc>
        <w:tc>
          <w:tcPr>
            <w:tcW w:w="114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FDF5E7"/>
            </w:tcBorders>
            <w:shd w:val="clear" w:color="auto" w:fill="FDF5E7"/>
          </w:tcPr>
          <w:p>
            <w:pPr>
              <w:jc w:val="right"/>
              <w:ind w:right="278"/>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FDF5E7"/>
            </w:tcBorders>
            <w:shd w:val="clear" w:color="auto" w:fill="FDF5E7"/>
          </w:tcPr>
          <w:p>
            <w:pPr>
              <w:jc w:val="right"/>
              <w:ind w:right="278"/>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FDF5E7"/>
            </w:tcBorders>
            <w:shd w:val="clear" w:color="auto" w:fill="FDF5E7"/>
          </w:tcPr>
          <w:p>
            <w:pPr>
              <w:jc w:val="right"/>
              <w:ind w:right="25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FDF5E7"/>
            </w:tcBorders>
            <w:shd w:val="clear" w:color="auto" w:fill="FDF5E7"/>
          </w:tcPr>
          <w:p>
            <w:pPr>
              <w:ind w:left="700"/>
              <w:spacing w:after="0"/>
              <w:rPr>
                <w:sz w:val="20"/>
                <w:szCs w:val="20"/>
                <w:color w:val="auto"/>
              </w:rPr>
            </w:pPr>
            <w:r>
              <w:rPr>
                <w:rFonts w:ascii="Arial" w:cs="Arial" w:eastAsia="Arial" w:hAnsi="Arial"/>
                <w:sz w:val="12"/>
                <w:szCs w:val="12"/>
                <w:color w:val="auto"/>
              </w:rPr>
              <w:t>—</w:t>
            </w:r>
          </w:p>
        </w:tc>
      </w:tr>
      <w:tr>
        <w:trPr>
          <w:trHeight w:val="173"/>
        </w:trPr>
        <w:tc>
          <w:tcPr>
            <w:tcW w:w="1060" w:type="dxa"/>
            <w:vAlign w:val="bottom"/>
          </w:tcPr>
          <w:p>
            <w:pPr>
              <w:ind w:left="20"/>
              <w:spacing w:after="0"/>
              <w:rPr>
                <w:sz w:val="20"/>
                <w:szCs w:val="20"/>
                <w:color w:val="auto"/>
              </w:rPr>
            </w:pPr>
            <w:r>
              <w:rPr>
                <w:rFonts w:ascii="Arial" w:cs="Arial" w:eastAsia="Arial" w:hAnsi="Arial"/>
                <w:sz w:val="12"/>
                <w:szCs w:val="12"/>
                <w:color w:val="3C3C3B"/>
              </w:rPr>
              <w:t>Bank loans</w:t>
            </w:r>
          </w:p>
        </w:tc>
        <w:tc>
          <w:tcPr>
            <w:tcW w:w="2540" w:type="dxa"/>
            <w:vAlign w:val="bottom"/>
          </w:tcPr>
          <w:p>
            <w:pPr>
              <w:spacing w:after="0"/>
              <w:rPr>
                <w:sz w:val="15"/>
                <w:szCs w:val="15"/>
                <w:color w:val="auto"/>
              </w:rPr>
            </w:pPr>
          </w:p>
        </w:tc>
        <w:tc>
          <w:tcPr>
            <w:tcW w:w="1000" w:type="dxa"/>
            <w:vAlign w:val="bottom"/>
          </w:tcPr>
          <w:p>
            <w:pPr>
              <w:jc w:val="right"/>
              <w:ind w:right="258"/>
              <w:spacing w:after="0"/>
              <w:rPr>
                <w:sz w:val="20"/>
                <w:szCs w:val="20"/>
                <w:color w:val="auto"/>
              </w:rPr>
            </w:pPr>
            <w:r>
              <w:rPr>
                <w:rFonts w:ascii="Arial" w:cs="Arial" w:eastAsia="Arial" w:hAnsi="Arial"/>
                <w:sz w:val="12"/>
                <w:szCs w:val="12"/>
                <w:color w:val="auto"/>
              </w:rPr>
              <w:t>2,076</w:t>
            </w:r>
          </w:p>
        </w:tc>
        <w:tc>
          <w:tcPr>
            <w:tcW w:w="1140" w:type="dxa"/>
            <w:vAlign w:val="bottom"/>
          </w:tcPr>
          <w:p>
            <w:pPr>
              <w:jc w:val="right"/>
              <w:ind w:right="258"/>
              <w:spacing w:after="0"/>
              <w:rPr>
                <w:sz w:val="20"/>
                <w:szCs w:val="20"/>
                <w:color w:val="auto"/>
              </w:rPr>
            </w:pPr>
            <w:r>
              <w:rPr>
                <w:rFonts w:ascii="Arial" w:cs="Arial" w:eastAsia="Arial" w:hAnsi="Arial"/>
                <w:sz w:val="12"/>
                <w:szCs w:val="12"/>
                <w:color w:val="auto"/>
              </w:rPr>
              <w:t>858</w:t>
            </w:r>
          </w:p>
        </w:tc>
        <w:tc>
          <w:tcPr>
            <w:tcW w:w="1140" w:type="dxa"/>
            <w:vAlign w:val="bottom"/>
          </w:tcPr>
          <w:p>
            <w:pPr>
              <w:jc w:val="right"/>
              <w:ind w:right="258"/>
              <w:spacing w:after="0"/>
              <w:rPr>
                <w:sz w:val="20"/>
                <w:szCs w:val="20"/>
                <w:color w:val="auto"/>
              </w:rPr>
            </w:pPr>
            <w:r>
              <w:rPr>
                <w:rFonts w:ascii="Arial" w:cs="Arial" w:eastAsia="Arial" w:hAnsi="Arial"/>
                <w:sz w:val="12"/>
                <w:szCs w:val="12"/>
                <w:color w:val="auto"/>
              </w:rPr>
              <w:t>869</w:t>
            </w:r>
          </w:p>
        </w:tc>
        <w:tc>
          <w:tcPr>
            <w:tcW w:w="1160" w:type="dxa"/>
            <w:vAlign w:val="bottom"/>
          </w:tcPr>
          <w:p>
            <w:pPr>
              <w:jc w:val="right"/>
              <w:ind w:right="278"/>
              <w:spacing w:after="0"/>
              <w:rPr>
                <w:sz w:val="20"/>
                <w:szCs w:val="20"/>
                <w:color w:val="auto"/>
              </w:rPr>
            </w:pPr>
            <w:r>
              <w:rPr>
                <w:rFonts w:ascii="Arial" w:cs="Arial" w:eastAsia="Arial" w:hAnsi="Arial"/>
                <w:sz w:val="12"/>
                <w:szCs w:val="12"/>
                <w:color w:val="auto"/>
              </w:rPr>
              <w:t>341</w:t>
            </w:r>
          </w:p>
        </w:tc>
        <w:tc>
          <w:tcPr>
            <w:tcW w:w="1160" w:type="dxa"/>
            <w:vAlign w:val="bottom"/>
          </w:tcPr>
          <w:p>
            <w:pPr>
              <w:jc w:val="right"/>
              <w:ind w:right="278"/>
              <w:spacing w:after="0"/>
              <w:rPr>
                <w:sz w:val="20"/>
                <w:szCs w:val="20"/>
                <w:color w:val="auto"/>
              </w:rPr>
            </w:pPr>
            <w:r>
              <w:rPr>
                <w:rFonts w:ascii="Arial" w:cs="Arial" w:eastAsia="Arial" w:hAnsi="Arial"/>
                <w:sz w:val="12"/>
                <w:szCs w:val="12"/>
                <w:color w:val="auto"/>
              </w:rPr>
              <w:t>5</w:t>
            </w:r>
          </w:p>
        </w:tc>
        <w:tc>
          <w:tcPr>
            <w:tcW w:w="1140" w:type="dxa"/>
            <w:vAlign w:val="bottom"/>
          </w:tcPr>
          <w:p>
            <w:pPr>
              <w:jc w:val="right"/>
              <w:ind w:right="258"/>
              <w:spacing w:after="0"/>
              <w:rPr>
                <w:sz w:val="20"/>
                <w:szCs w:val="20"/>
                <w:color w:val="auto"/>
              </w:rPr>
            </w:pPr>
            <w:r>
              <w:rPr>
                <w:rFonts w:ascii="Arial" w:cs="Arial" w:eastAsia="Arial" w:hAnsi="Arial"/>
                <w:sz w:val="12"/>
                <w:szCs w:val="12"/>
                <w:color w:val="auto"/>
              </w:rPr>
              <w:t>3</w:t>
            </w:r>
          </w:p>
        </w:tc>
        <w:tc>
          <w:tcPr>
            <w:tcW w:w="880" w:type="dxa"/>
            <w:vAlign w:val="bottom"/>
          </w:tcPr>
          <w:p>
            <w:pPr>
              <w:ind w:left="700"/>
              <w:spacing w:after="0"/>
              <w:rPr>
                <w:sz w:val="20"/>
                <w:szCs w:val="20"/>
                <w:color w:val="auto"/>
              </w:rPr>
            </w:pPr>
            <w:r>
              <w:rPr>
                <w:rFonts w:ascii="Arial" w:cs="Arial" w:eastAsia="Arial" w:hAnsi="Arial"/>
                <w:sz w:val="12"/>
                <w:szCs w:val="12"/>
                <w:color w:val="auto"/>
              </w:rPr>
              <w:t>—</w:t>
            </w:r>
          </w:p>
        </w:tc>
      </w:tr>
      <w:tr>
        <w:trPr>
          <w:trHeight w:val="199"/>
        </w:trPr>
        <w:tc>
          <w:tcPr>
            <w:tcW w:w="1060" w:type="dxa"/>
            <w:vAlign w:val="bottom"/>
          </w:tcPr>
          <w:p>
            <w:pPr>
              <w:ind w:left="20"/>
              <w:spacing w:after="0"/>
              <w:rPr>
                <w:sz w:val="20"/>
                <w:szCs w:val="20"/>
                <w:color w:val="auto"/>
              </w:rPr>
            </w:pPr>
            <w:r>
              <w:rPr>
                <w:rFonts w:ascii="Arial" w:cs="Arial" w:eastAsia="Arial" w:hAnsi="Arial"/>
                <w:sz w:val="12"/>
                <w:szCs w:val="12"/>
                <w:color w:val="3C3C3B"/>
              </w:rPr>
              <w:t>Leases</w:t>
            </w:r>
          </w:p>
        </w:tc>
        <w:tc>
          <w:tcPr>
            <w:tcW w:w="2540" w:type="dxa"/>
            <w:vAlign w:val="bottom"/>
          </w:tcPr>
          <w:p>
            <w:pPr>
              <w:spacing w:after="0"/>
              <w:rPr>
                <w:sz w:val="17"/>
                <w:szCs w:val="17"/>
                <w:color w:val="auto"/>
              </w:rPr>
            </w:pPr>
          </w:p>
        </w:tc>
        <w:tc>
          <w:tcPr>
            <w:tcW w:w="1000" w:type="dxa"/>
            <w:vAlign w:val="bottom"/>
          </w:tcPr>
          <w:p>
            <w:pPr>
              <w:jc w:val="right"/>
              <w:ind w:right="258"/>
              <w:spacing w:after="0"/>
              <w:rPr>
                <w:sz w:val="20"/>
                <w:szCs w:val="20"/>
                <w:color w:val="auto"/>
              </w:rPr>
            </w:pPr>
            <w:r>
              <w:rPr>
                <w:rFonts w:ascii="Arial" w:cs="Arial" w:eastAsia="Arial" w:hAnsi="Arial"/>
                <w:sz w:val="12"/>
                <w:szCs w:val="12"/>
                <w:color w:val="auto"/>
              </w:rPr>
              <w:t>4,652</w:t>
            </w:r>
          </w:p>
        </w:tc>
        <w:tc>
          <w:tcPr>
            <w:tcW w:w="1140" w:type="dxa"/>
            <w:vAlign w:val="bottom"/>
          </w:tcPr>
          <w:p>
            <w:pPr>
              <w:jc w:val="right"/>
              <w:ind w:right="258"/>
              <w:spacing w:after="0"/>
              <w:rPr>
                <w:sz w:val="20"/>
                <w:szCs w:val="20"/>
                <w:color w:val="auto"/>
              </w:rPr>
            </w:pPr>
            <w:r>
              <w:rPr>
                <w:rFonts w:ascii="Arial" w:cs="Arial" w:eastAsia="Arial" w:hAnsi="Arial"/>
                <w:sz w:val="12"/>
                <w:szCs w:val="12"/>
                <w:color w:val="auto"/>
              </w:rPr>
              <w:t>1,182</w:t>
            </w:r>
          </w:p>
        </w:tc>
        <w:tc>
          <w:tcPr>
            <w:tcW w:w="1140" w:type="dxa"/>
            <w:vAlign w:val="bottom"/>
          </w:tcPr>
          <w:p>
            <w:pPr>
              <w:jc w:val="right"/>
              <w:ind w:right="258"/>
              <w:spacing w:after="0"/>
              <w:rPr>
                <w:sz w:val="20"/>
                <w:szCs w:val="20"/>
                <w:color w:val="auto"/>
              </w:rPr>
            </w:pPr>
            <w:r>
              <w:rPr>
                <w:rFonts w:ascii="Arial" w:cs="Arial" w:eastAsia="Arial" w:hAnsi="Arial"/>
                <w:sz w:val="12"/>
                <w:szCs w:val="12"/>
                <w:color w:val="auto"/>
              </w:rPr>
              <w:t>1,196</w:t>
            </w:r>
          </w:p>
        </w:tc>
        <w:tc>
          <w:tcPr>
            <w:tcW w:w="1160" w:type="dxa"/>
            <w:vAlign w:val="bottom"/>
          </w:tcPr>
          <w:p>
            <w:pPr>
              <w:jc w:val="right"/>
              <w:ind w:right="278"/>
              <w:spacing w:after="0"/>
              <w:rPr>
                <w:sz w:val="20"/>
                <w:szCs w:val="20"/>
                <w:color w:val="auto"/>
              </w:rPr>
            </w:pPr>
            <w:r>
              <w:rPr>
                <w:rFonts w:ascii="Arial" w:cs="Arial" w:eastAsia="Arial" w:hAnsi="Arial"/>
                <w:sz w:val="12"/>
                <w:szCs w:val="12"/>
                <w:color w:val="auto"/>
              </w:rPr>
              <w:t>1,209</w:t>
            </w:r>
          </w:p>
        </w:tc>
        <w:tc>
          <w:tcPr>
            <w:tcW w:w="1160" w:type="dxa"/>
            <w:vAlign w:val="bottom"/>
          </w:tcPr>
          <w:p>
            <w:pPr>
              <w:jc w:val="right"/>
              <w:ind w:right="278"/>
              <w:spacing w:after="0"/>
              <w:rPr>
                <w:sz w:val="20"/>
                <w:szCs w:val="20"/>
                <w:color w:val="auto"/>
              </w:rPr>
            </w:pPr>
            <w:r>
              <w:rPr>
                <w:rFonts w:ascii="Arial" w:cs="Arial" w:eastAsia="Arial" w:hAnsi="Arial"/>
                <w:sz w:val="12"/>
                <w:szCs w:val="12"/>
                <w:color w:val="auto"/>
              </w:rPr>
              <w:t>1,065</w:t>
            </w:r>
          </w:p>
        </w:tc>
        <w:tc>
          <w:tcPr>
            <w:tcW w:w="114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880" w:type="dxa"/>
            <w:vAlign w:val="bottom"/>
          </w:tcPr>
          <w:p>
            <w:pPr>
              <w:ind w:left="700"/>
              <w:spacing w:after="0"/>
              <w:rPr>
                <w:sz w:val="20"/>
                <w:szCs w:val="20"/>
                <w:color w:val="auto"/>
              </w:rPr>
            </w:pPr>
            <w:r>
              <w:rPr>
                <w:rFonts w:ascii="Arial" w:cs="Arial" w:eastAsia="Arial" w:hAnsi="Arial"/>
                <w:sz w:val="12"/>
                <w:szCs w:val="12"/>
                <w:color w:val="auto"/>
              </w:rPr>
              <w:t>—</w:t>
            </w:r>
          </w:p>
        </w:tc>
      </w:tr>
      <w:tr>
        <w:trPr>
          <w:trHeight w:val="26"/>
        </w:trPr>
        <w:tc>
          <w:tcPr>
            <w:tcW w:w="10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9"/>
        </w:trPr>
        <w:tc>
          <w:tcPr>
            <w:tcW w:w="1060" w:type="dxa"/>
            <w:vAlign w:val="bottom"/>
            <w:tcBorders>
              <w:bottom w:val="single" w:sz="8" w:color="FDF6EA"/>
            </w:tcBorders>
            <w:shd w:val="clear" w:color="auto" w:fill="FDF6EA"/>
          </w:tcPr>
          <w:p>
            <w:pPr>
              <w:ind w:left="20"/>
              <w:spacing w:after="0"/>
              <w:rPr>
                <w:sz w:val="20"/>
                <w:szCs w:val="20"/>
                <w:color w:val="auto"/>
              </w:rPr>
            </w:pPr>
            <w:r>
              <w:rPr>
                <w:rFonts w:ascii="Arial" w:cs="Arial" w:eastAsia="Arial" w:hAnsi="Arial"/>
                <w:sz w:val="12"/>
                <w:szCs w:val="12"/>
                <w:color w:val="3C3C3B"/>
              </w:rPr>
              <w:t>Accrued interests</w:t>
            </w:r>
          </w:p>
        </w:tc>
        <w:tc>
          <w:tcPr>
            <w:tcW w:w="2540" w:type="dxa"/>
            <w:vAlign w:val="bottom"/>
            <w:tcBorders>
              <w:bottom w:val="single" w:sz="8" w:color="FDF6EA"/>
            </w:tcBorders>
            <w:shd w:val="clear" w:color="auto" w:fill="FDF6EA"/>
          </w:tcPr>
          <w:p>
            <w:pPr>
              <w:spacing w:after="0"/>
              <w:rPr>
                <w:sz w:val="15"/>
                <w:szCs w:val="15"/>
                <w:color w:val="auto"/>
              </w:rPr>
            </w:pPr>
          </w:p>
        </w:tc>
        <w:tc>
          <w:tcPr>
            <w:tcW w:w="1000" w:type="dxa"/>
            <w:vAlign w:val="bottom"/>
            <w:tcBorders>
              <w:bottom w:val="single" w:sz="8" w:color="FDF6EA"/>
            </w:tcBorders>
            <w:shd w:val="clear" w:color="auto" w:fill="FDF6EA"/>
          </w:tcPr>
          <w:p>
            <w:pPr>
              <w:jc w:val="right"/>
              <w:ind w:right="258"/>
              <w:spacing w:after="0"/>
              <w:rPr>
                <w:sz w:val="20"/>
                <w:szCs w:val="20"/>
                <w:color w:val="auto"/>
              </w:rPr>
            </w:pPr>
            <w:r>
              <w:rPr>
                <w:rFonts w:ascii="Arial" w:cs="Arial" w:eastAsia="Arial" w:hAnsi="Arial"/>
                <w:sz w:val="12"/>
                <w:szCs w:val="12"/>
                <w:color w:val="auto"/>
              </w:rPr>
              <w:t>4</w:t>
            </w:r>
          </w:p>
        </w:tc>
        <w:tc>
          <w:tcPr>
            <w:tcW w:w="1140" w:type="dxa"/>
            <w:vAlign w:val="bottom"/>
            <w:tcBorders>
              <w:bottom w:val="single" w:sz="8" w:color="FDF6EA"/>
            </w:tcBorders>
            <w:shd w:val="clear" w:color="auto" w:fill="FDF6EA"/>
          </w:tcPr>
          <w:p>
            <w:pPr>
              <w:jc w:val="right"/>
              <w:ind w:right="258"/>
              <w:spacing w:after="0"/>
              <w:rPr>
                <w:sz w:val="20"/>
                <w:szCs w:val="20"/>
                <w:color w:val="auto"/>
              </w:rPr>
            </w:pPr>
            <w:r>
              <w:rPr>
                <w:rFonts w:ascii="Arial" w:cs="Arial" w:eastAsia="Arial" w:hAnsi="Arial"/>
                <w:sz w:val="12"/>
                <w:szCs w:val="12"/>
                <w:color w:val="auto"/>
              </w:rPr>
              <w:t>4</w:t>
            </w:r>
          </w:p>
        </w:tc>
        <w:tc>
          <w:tcPr>
            <w:tcW w:w="1140" w:type="dxa"/>
            <w:vAlign w:val="bottom"/>
            <w:tcBorders>
              <w:bottom w:val="single" w:sz="8" w:color="FDF6EA"/>
            </w:tcBorders>
            <w:shd w:val="clear" w:color="auto" w:fill="FDF6EA"/>
          </w:tcPr>
          <w:p>
            <w:pPr>
              <w:jc w:val="right"/>
              <w:ind w:right="258"/>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FDF6EA"/>
            </w:tcBorders>
            <w:shd w:val="clear" w:color="auto" w:fill="FDF6EA"/>
          </w:tcPr>
          <w:p>
            <w:pPr>
              <w:jc w:val="right"/>
              <w:ind w:right="278"/>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FDF6EA"/>
            </w:tcBorders>
            <w:shd w:val="clear" w:color="auto" w:fill="FDF6EA"/>
          </w:tcPr>
          <w:p>
            <w:pPr>
              <w:jc w:val="right"/>
              <w:ind w:right="278"/>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FDF6EA"/>
            </w:tcBorders>
            <w:shd w:val="clear" w:color="auto" w:fill="FDF6EA"/>
          </w:tcPr>
          <w:p>
            <w:pPr>
              <w:jc w:val="right"/>
              <w:ind w:right="25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FDF6EA"/>
            </w:tcBorders>
            <w:shd w:val="clear" w:color="auto" w:fill="FDF6EA"/>
          </w:tcPr>
          <w:p>
            <w:pPr>
              <w:ind w:left="700"/>
              <w:spacing w:after="0"/>
              <w:rPr>
                <w:sz w:val="20"/>
                <w:szCs w:val="20"/>
                <w:color w:val="auto"/>
              </w:rPr>
            </w:pPr>
            <w:r>
              <w:rPr>
                <w:rFonts w:ascii="Arial" w:cs="Arial" w:eastAsia="Arial" w:hAnsi="Arial"/>
                <w:sz w:val="12"/>
                <w:szCs w:val="12"/>
                <w:color w:val="auto"/>
              </w:rPr>
              <w:t>—</w:t>
            </w:r>
          </w:p>
        </w:tc>
      </w:tr>
      <w:tr>
        <w:trPr>
          <w:trHeight w:val="178"/>
        </w:trPr>
        <w:tc>
          <w:tcPr>
            <w:tcW w:w="360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3C3C3B"/>
              </w:rPr>
              <w:t>TOTAL - Other loans and borrowings</w:t>
            </w:r>
          </w:p>
        </w:tc>
        <w:tc>
          <w:tcPr>
            <w:tcW w:w="1000" w:type="dxa"/>
            <w:vAlign w:val="bottom"/>
          </w:tcPr>
          <w:p>
            <w:pPr>
              <w:jc w:val="right"/>
              <w:ind w:right="258"/>
              <w:spacing w:after="0"/>
              <w:rPr>
                <w:sz w:val="20"/>
                <w:szCs w:val="20"/>
                <w:color w:val="auto"/>
              </w:rPr>
            </w:pPr>
            <w:r>
              <w:rPr>
                <w:rFonts w:ascii="Arial" w:cs="Arial" w:eastAsia="Arial" w:hAnsi="Arial"/>
                <w:sz w:val="12"/>
                <w:szCs w:val="12"/>
                <w:b w:val="1"/>
                <w:bCs w:val="1"/>
                <w:i w:val="1"/>
                <w:iCs w:val="1"/>
                <w:color w:val="auto"/>
              </w:rPr>
              <w:t>7,323</w:t>
            </w:r>
          </w:p>
        </w:tc>
        <w:tc>
          <w:tcPr>
            <w:tcW w:w="1140" w:type="dxa"/>
            <w:vAlign w:val="bottom"/>
          </w:tcPr>
          <w:p>
            <w:pPr>
              <w:jc w:val="right"/>
              <w:ind w:right="258"/>
              <w:spacing w:after="0"/>
              <w:rPr>
                <w:sz w:val="20"/>
                <w:szCs w:val="20"/>
                <w:color w:val="auto"/>
              </w:rPr>
            </w:pPr>
            <w:r>
              <w:rPr>
                <w:rFonts w:ascii="Arial" w:cs="Arial" w:eastAsia="Arial" w:hAnsi="Arial"/>
                <w:sz w:val="12"/>
                <w:szCs w:val="12"/>
                <w:b w:val="1"/>
                <w:bCs w:val="1"/>
                <w:i w:val="1"/>
                <w:iCs w:val="1"/>
                <w:color w:val="auto"/>
              </w:rPr>
              <w:t>2,635</w:t>
            </w:r>
          </w:p>
        </w:tc>
        <w:tc>
          <w:tcPr>
            <w:tcW w:w="1140" w:type="dxa"/>
            <w:vAlign w:val="bottom"/>
          </w:tcPr>
          <w:p>
            <w:pPr>
              <w:jc w:val="right"/>
              <w:ind w:right="258"/>
              <w:spacing w:after="0"/>
              <w:rPr>
                <w:sz w:val="20"/>
                <w:szCs w:val="20"/>
                <w:color w:val="auto"/>
              </w:rPr>
            </w:pPr>
            <w:r>
              <w:rPr>
                <w:rFonts w:ascii="Arial" w:cs="Arial" w:eastAsia="Arial" w:hAnsi="Arial"/>
                <w:sz w:val="12"/>
                <w:szCs w:val="12"/>
                <w:b w:val="1"/>
                <w:bCs w:val="1"/>
                <w:i w:val="1"/>
                <w:iCs w:val="1"/>
                <w:color w:val="auto"/>
              </w:rPr>
              <w:t>2,065</w:t>
            </w:r>
          </w:p>
        </w:tc>
        <w:tc>
          <w:tcPr>
            <w:tcW w:w="1160" w:type="dxa"/>
            <w:vAlign w:val="bottom"/>
          </w:tcPr>
          <w:p>
            <w:pPr>
              <w:jc w:val="right"/>
              <w:ind w:right="258"/>
              <w:spacing w:after="0"/>
              <w:rPr>
                <w:sz w:val="20"/>
                <w:szCs w:val="20"/>
                <w:color w:val="auto"/>
              </w:rPr>
            </w:pPr>
            <w:r>
              <w:rPr>
                <w:rFonts w:ascii="Arial" w:cs="Arial" w:eastAsia="Arial" w:hAnsi="Arial"/>
                <w:sz w:val="12"/>
                <w:szCs w:val="12"/>
                <w:b w:val="1"/>
                <w:bCs w:val="1"/>
                <w:i w:val="1"/>
                <w:iCs w:val="1"/>
                <w:color w:val="auto"/>
              </w:rPr>
              <w:t>1,550</w:t>
            </w:r>
          </w:p>
        </w:tc>
        <w:tc>
          <w:tcPr>
            <w:tcW w:w="1160" w:type="dxa"/>
            <w:vAlign w:val="bottom"/>
          </w:tcPr>
          <w:p>
            <w:pPr>
              <w:jc w:val="right"/>
              <w:ind w:right="278"/>
              <w:spacing w:after="0"/>
              <w:rPr>
                <w:sz w:val="20"/>
                <w:szCs w:val="20"/>
                <w:color w:val="auto"/>
              </w:rPr>
            </w:pPr>
            <w:r>
              <w:rPr>
                <w:rFonts w:ascii="Arial" w:cs="Arial" w:eastAsia="Arial" w:hAnsi="Arial"/>
                <w:sz w:val="12"/>
                <w:szCs w:val="12"/>
                <w:b w:val="1"/>
                <w:bCs w:val="1"/>
                <w:i w:val="1"/>
                <w:iCs w:val="1"/>
                <w:color w:val="auto"/>
              </w:rPr>
              <w:t>1,070</w:t>
            </w:r>
          </w:p>
        </w:tc>
        <w:tc>
          <w:tcPr>
            <w:tcW w:w="1140" w:type="dxa"/>
            <w:vAlign w:val="bottom"/>
          </w:tcPr>
          <w:p>
            <w:pPr>
              <w:jc w:val="right"/>
              <w:ind w:right="258"/>
              <w:spacing w:after="0"/>
              <w:rPr>
                <w:sz w:val="20"/>
                <w:szCs w:val="20"/>
                <w:color w:val="auto"/>
              </w:rPr>
            </w:pPr>
            <w:r>
              <w:rPr>
                <w:rFonts w:ascii="Arial" w:cs="Arial" w:eastAsia="Arial" w:hAnsi="Arial"/>
                <w:sz w:val="12"/>
                <w:szCs w:val="12"/>
                <w:b w:val="1"/>
                <w:bCs w:val="1"/>
                <w:i w:val="1"/>
                <w:iCs w:val="1"/>
                <w:color w:val="auto"/>
              </w:rPr>
              <w:t>3</w:t>
            </w:r>
          </w:p>
        </w:tc>
        <w:tc>
          <w:tcPr>
            <w:tcW w:w="880" w:type="dxa"/>
            <w:vAlign w:val="bottom"/>
          </w:tcPr>
          <w:p>
            <w:pPr>
              <w:ind w:left="700"/>
              <w:spacing w:after="0"/>
              <w:rPr>
                <w:sz w:val="20"/>
                <w:szCs w:val="20"/>
                <w:color w:val="auto"/>
              </w:rPr>
            </w:pPr>
            <w:r>
              <w:rPr>
                <w:rFonts w:ascii="Arial" w:cs="Arial" w:eastAsia="Arial" w:hAnsi="Arial"/>
                <w:sz w:val="12"/>
                <w:szCs w:val="12"/>
                <w:b w:val="1"/>
                <w:bCs w:val="1"/>
                <w:i w:val="1"/>
                <w:iCs w:val="1"/>
                <w:color w:val="auto"/>
              </w:rPr>
              <w:t>—</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2"/>
        </w:trPr>
        <w:tc>
          <w:tcPr>
            <w:tcW w:w="1060" w:type="dxa"/>
            <w:vAlign w:val="bottom"/>
          </w:tcPr>
          <w:p>
            <w:pPr>
              <w:ind w:left="20"/>
              <w:spacing w:after="0"/>
              <w:rPr>
                <w:sz w:val="20"/>
                <w:szCs w:val="20"/>
                <w:color w:val="auto"/>
              </w:rPr>
            </w:pPr>
            <w:r>
              <w:rPr>
                <w:rFonts w:ascii="Arial" w:cs="Arial" w:eastAsia="Arial" w:hAnsi="Arial"/>
                <w:sz w:val="12"/>
                <w:szCs w:val="12"/>
                <w:b w:val="1"/>
                <w:bCs w:val="1"/>
                <w:color w:val="E99D25"/>
              </w:rPr>
              <w:t>TOTAL</w:t>
            </w:r>
          </w:p>
        </w:tc>
        <w:tc>
          <w:tcPr>
            <w:tcW w:w="2540" w:type="dxa"/>
            <w:vAlign w:val="bottom"/>
          </w:tcPr>
          <w:p>
            <w:pPr>
              <w:spacing w:after="0"/>
              <w:rPr>
                <w:sz w:val="14"/>
                <w:szCs w:val="14"/>
                <w:color w:val="auto"/>
              </w:rPr>
            </w:pPr>
          </w:p>
        </w:tc>
        <w:tc>
          <w:tcPr>
            <w:tcW w:w="1000" w:type="dxa"/>
            <w:vAlign w:val="bottom"/>
          </w:tcPr>
          <w:p>
            <w:pPr>
              <w:jc w:val="right"/>
              <w:ind w:right="258"/>
              <w:spacing w:after="0"/>
              <w:rPr>
                <w:sz w:val="20"/>
                <w:szCs w:val="20"/>
                <w:color w:val="auto"/>
              </w:rPr>
            </w:pPr>
            <w:r>
              <w:rPr>
                <w:rFonts w:ascii="Arial" w:cs="Arial" w:eastAsia="Arial" w:hAnsi="Arial"/>
                <w:sz w:val="12"/>
                <w:szCs w:val="12"/>
                <w:b w:val="1"/>
                <w:bCs w:val="1"/>
                <w:color w:val="E99D25"/>
              </w:rPr>
              <w:t>7,323</w:t>
            </w:r>
          </w:p>
        </w:tc>
        <w:tc>
          <w:tcPr>
            <w:tcW w:w="1140" w:type="dxa"/>
            <w:vAlign w:val="bottom"/>
          </w:tcPr>
          <w:p>
            <w:pPr>
              <w:jc w:val="right"/>
              <w:ind w:right="258"/>
              <w:spacing w:after="0"/>
              <w:rPr>
                <w:sz w:val="20"/>
                <w:szCs w:val="20"/>
                <w:color w:val="auto"/>
              </w:rPr>
            </w:pPr>
            <w:r>
              <w:rPr>
                <w:rFonts w:ascii="Arial" w:cs="Arial" w:eastAsia="Arial" w:hAnsi="Arial"/>
                <w:sz w:val="12"/>
                <w:szCs w:val="12"/>
                <w:b w:val="1"/>
                <w:bCs w:val="1"/>
                <w:color w:val="E99D25"/>
              </w:rPr>
              <w:t>2,635</w:t>
            </w:r>
          </w:p>
        </w:tc>
        <w:tc>
          <w:tcPr>
            <w:tcW w:w="1140" w:type="dxa"/>
            <w:vAlign w:val="bottom"/>
          </w:tcPr>
          <w:p>
            <w:pPr>
              <w:jc w:val="right"/>
              <w:ind w:right="258"/>
              <w:spacing w:after="0"/>
              <w:rPr>
                <w:sz w:val="20"/>
                <w:szCs w:val="20"/>
                <w:color w:val="auto"/>
              </w:rPr>
            </w:pPr>
            <w:r>
              <w:rPr>
                <w:rFonts w:ascii="Arial" w:cs="Arial" w:eastAsia="Arial" w:hAnsi="Arial"/>
                <w:sz w:val="12"/>
                <w:szCs w:val="12"/>
                <w:b w:val="1"/>
                <w:bCs w:val="1"/>
                <w:color w:val="E99D25"/>
              </w:rPr>
              <w:t>2,065</w:t>
            </w:r>
          </w:p>
        </w:tc>
        <w:tc>
          <w:tcPr>
            <w:tcW w:w="1160" w:type="dxa"/>
            <w:vAlign w:val="bottom"/>
          </w:tcPr>
          <w:p>
            <w:pPr>
              <w:jc w:val="right"/>
              <w:ind w:right="258"/>
              <w:spacing w:after="0"/>
              <w:rPr>
                <w:sz w:val="20"/>
                <w:szCs w:val="20"/>
                <w:color w:val="auto"/>
              </w:rPr>
            </w:pPr>
            <w:r>
              <w:rPr>
                <w:rFonts w:ascii="Arial" w:cs="Arial" w:eastAsia="Arial" w:hAnsi="Arial"/>
                <w:sz w:val="12"/>
                <w:szCs w:val="12"/>
                <w:b w:val="1"/>
                <w:bCs w:val="1"/>
                <w:color w:val="E99D25"/>
              </w:rPr>
              <w:t>1,550</w:t>
            </w:r>
          </w:p>
        </w:tc>
        <w:tc>
          <w:tcPr>
            <w:tcW w:w="1160" w:type="dxa"/>
            <w:vAlign w:val="bottom"/>
          </w:tcPr>
          <w:p>
            <w:pPr>
              <w:jc w:val="right"/>
              <w:ind w:right="278"/>
              <w:spacing w:after="0"/>
              <w:rPr>
                <w:sz w:val="20"/>
                <w:szCs w:val="20"/>
                <w:color w:val="auto"/>
              </w:rPr>
            </w:pPr>
            <w:r>
              <w:rPr>
                <w:rFonts w:ascii="Arial" w:cs="Arial" w:eastAsia="Arial" w:hAnsi="Arial"/>
                <w:sz w:val="12"/>
                <w:szCs w:val="12"/>
                <w:b w:val="1"/>
                <w:bCs w:val="1"/>
                <w:color w:val="E99D25"/>
              </w:rPr>
              <w:t>1,070</w:t>
            </w:r>
          </w:p>
        </w:tc>
        <w:tc>
          <w:tcPr>
            <w:tcW w:w="1140" w:type="dxa"/>
            <w:vAlign w:val="bottom"/>
          </w:tcPr>
          <w:p>
            <w:pPr>
              <w:jc w:val="right"/>
              <w:ind w:right="258"/>
              <w:spacing w:after="0"/>
              <w:rPr>
                <w:sz w:val="20"/>
                <w:szCs w:val="20"/>
                <w:color w:val="auto"/>
              </w:rPr>
            </w:pPr>
            <w:r>
              <w:rPr>
                <w:rFonts w:ascii="Arial" w:cs="Arial" w:eastAsia="Arial" w:hAnsi="Arial"/>
                <w:sz w:val="12"/>
                <w:szCs w:val="12"/>
                <w:b w:val="1"/>
                <w:bCs w:val="1"/>
                <w:color w:val="E99D25"/>
              </w:rPr>
              <w:t>3</w:t>
            </w:r>
          </w:p>
        </w:tc>
        <w:tc>
          <w:tcPr>
            <w:tcW w:w="880" w:type="dxa"/>
            <w:vAlign w:val="bottom"/>
          </w:tcPr>
          <w:p>
            <w:pPr>
              <w:ind w:left="700"/>
              <w:spacing w:after="0"/>
              <w:rPr>
                <w:sz w:val="20"/>
                <w:szCs w:val="20"/>
                <w:color w:val="auto"/>
              </w:rPr>
            </w:pPr>
            <w:r>
              <w:rPr>
                <w:rFonts w:ascii="Arial" w:cs="Arial" w:eastAsia="Arial" w:hAnsi="Arial"/>
                <w:sz w:val="12"/>
                <w:szCs w:val="12"/>
                <w:b w:val="1"/>
                <w:bCs w:val="1"/>
                <w:color w:val="E99D25"/>
              </w:rPr>
              <w:t>—</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values in the table above are nominal (contractual) values according to IFRS 7.39(a).</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 xml:space="preserve">For detail on the expected future payments related to the Royalty Financing liability, refer to </w:t>
      </w:r>
      <w:r>
        <w:rPr>
          <w:rFonts w:ascii="Arial" w:cs="Arial" w:eastAsia="Arial" w:hAnsi="Arial"/>
          <w:sz w:val="15"/>
          <w:szCs w:val="15"/>
          <w:u w:val="single" w:color="auto"/>
          <w:color w:val="0000FF"/>
        </w:rPr>
        <w:t>Note 17.1 - Royalty Financing</w:t>
      </w:r>
      <w:r>
        <w:rPr>
          <w:rFonts w:ascii="Arial" w:cs="Arial" w:eastAsia="Arial" w:hAnsi="Arial"/>
          <w:sz w:val="15"/>
          <w:szCs w:val="15"/>
          <w:color w:val="3C3C3B"/>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20" w:type="dxa"/>
            <w:vAlign w:val="bottom"/>
          </w:tcPr>
          <w:p>
            <w:pPr>
              <w:ind w:left="480"/>
              <w:spacing w:after="0"/>
              <w:rPr>
                <w:sz w:val="20"/>
                <w:szCs w:val="20"/>
                <w:color w:val="auto"/>
              </w:rPr>
            </w:pPr>
            <w:r>
              <w:rPr>
                <w:rFonts w:ascii="Arial" w:cs="Arial" w:eastAsia="Arial" w:hAnsi="Arial"/>
                <w:sz w:val="16"/>
                <w:szCs w:val="16"/>
                <w:b w:val="1"/>
                <w:bCs w:val="1"/>
                <w:color w:val="auto"/>
              </w:rPr>
              <w:t>17.5</w:t>
            </w:r>
          </w:p>
        </w:tc>
        <w:tc>
          <w:tcPr>
            <w:tcW w:w="5440" w:type="dxa"/>
            <w:vAlign w:val="bottom"/>
            <w:gridSpan w:val="2"/>
          </w:tcPr>
          <w:p>
            <w:pPr>
              <w:jc w:val="right"/>
              <w:ind w:right="118"/>
              <w:spacing w:after="0"/>
              <w:rPr>
                <w:sz w:val="20"/>
                <w:szCs w:val="20"/>
                <w:color w:val="auto"/>
              </w:rPr>
            </w:pPr>
            <w:r>
              <w:rPr>
                <w:rFonts w:ascii="Arial" w:cs="Arial" w:eastAsia="Arial" w:hAnsi="Arial"/>
                <w:sz w:val="16"/>
                <w:szCs w:val="16"/>
                <w:b w:val="1"/>
                <w:bCs w:val="1"/>
                <w:color w:val="auto"/>
              </w:rPr>
              <w:t>Reconciliation of financial liabilities arising from financing activities</w:t>
            </w:r>
          </w:p>
        </w:tc>
        <w:tc>
          <w:tcPr>
            <w:tcW w:w="1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100" w:type="dxa"/>
            <w:vAlign w:val="bottom"/>
          </w:tcPr>
          <w:p>
            <w:pPr>
              <w:jc w:val="right"/>
              <w:ind w:right="858"/>
              <w:spacing w:after="0"/>
              <w:rPr>
                <w:sz w:val="20"/>
                <w:szCs w:val="20"/>
                <w:color w:val="auto"/>
              </w:rPr>
            </w:pPr>
            <w:r>
              <w:rPr>
                <w:rFonts w:ascii="Arial" w:cs="Arial" w:eastAsia="Arial" w:hAnsi="Arial"/>
                <w:sz w:val="12"/>
                <w:szCs w:val="12"/>
                <w:b w:val="1"/>
                <w:bCs w:val="1"/>
                <w:color w:val="auto"/>
              </w:rPr>
              <w:t>As of</w:t>
            </w:r>
          </w:p>
        </w:tc>
        <w:tc>
          <w:tcPr>
            <w:tcW w:w="1520" w:type="dxa"/>
            <w:vAlign w:val="bottom"/>
            <w:vMerge w:val="restart"/>
          </w:tcPr>
          <w:p>
            <w:pPr>
              <w:jc w:val="right"/>
              <w:ind w:right="638"/>
              <w:spacing w:after="0"/>
              <w:rPr>
                <w:sz w:val="20"/>
                <w:szCs w:val="20"/>
                <w:color w:val="auto"/>
              </w:rPr>
            </w:pPr>
            <w:r>
              <w:rPr>
                <w:rFonts w:ascii="Arial" w:cs="Arial" w:eastAsia="Arial" w:hAnsi="Arial"/>
                <w:sz w:val="12"/>
                <w:szCs w:val="12"/>
                <w:b w:val="1"/>
                <w:bCs w:val="1"/>
                <w:color w:val="auto"/>
              </w:rPr>
              <w:t>Cash flows</w:t>
            </w:r>
          </w:p>
        </w:tc>
        <w:tc>
          <w:tcPr>
            <w:tcW w:w="1940" w:type="dxa"/>
            <w:vAlign w:val="bottom"/>
            <w:vMerge w:val="restart"/>
          </w:tcPr>
          <w:p>
            <w:pPr>
              <w:jc w:val="right"/>
              <w:ind w:right="558"/>
              <w:spacing w:after="0"/>
              <w:rPr>
                <w:sz w:val="20"/>
                <w:szCs w:val="20"/>
                <w:color w:val="auto"/>
              </w:rPr>
            </w:pPr>
            <w:r>
              <w:rPr>
                <w:rFonts w:ascii="Arial" w:cs="Arial" w:eastAsia="Arial" w:hAnsi="Arial"/>
                <w:sz w:val="12"/>
                <w:szCs w:val="12"/>
                <w:b w:val="1"/>
                <w:bCs w:val="1"/>
                <w:color w:val="auto"/>
              </w:rPr>
              <w:t>Non cash changes</w:t>
            </w:r>
          </w:p>
        </w:tc>
        <w:tc>
          <w:tcPr>
            <w:tcW w:w="1300" w:type="dxa"/>
            <w:vAlign w:val="bottom"/>
          </w:tcPr>
          <w:p>
            <w:pPr>
              <w:jc w:val="right"/>
              <w:ind w:right="538"/>
              <w:spacing w:after="0"/>
              <w:rPr>
                <w:sz w:val="20"/>
                <w:szCs w:val="20"/>
                <w:color w:val="auto"/>
              </w:rPr>
            </w:pPr>
            <w:r>
              <w:rPr>
                <w:rFonts w:ascii="Arial" w:cs="Arial" w:eastAsia="Arial" w:hAnsi="Arial"/>
                <w:sz w:val="12"/>
                <w:szCs w:val="12"/>
                <w:b w:val="1"/>
                <w:bCs w:val="1"/>
                <w:color w:val="auto"/>
              </w:rPr>
              <w:t>As of</w:t>
            </w:r>
          </w:p>
        </w:tc>
        <w:tc>
          <w:tcPr>
            <w:tcW w:w="0" w:type="dxa"/>
            <w:vAlign w:val="bottom"/>
          </w:tcPr>
          <w:p>
            <w:pPr>
              <w:spacing w:after="0"/>
              <w:rPr>
                <w:sz w:val="1"/>
                <w:szCs w:val="1"/>
                <w:color w:val="auto"/>
              </w:rPr>
            </w:pPr>
          </w:p>
        </w:tc>
      </w:tr>
      <w:tr>
        <w:trPr>
          <w:trHeight w:val="93"/>
        </w:trPr>
        <w:tc>
          <w:tcPr>
            <w:tcW w:w="10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100" w:type="dxa"/>
            <w:vAlign w:val="bottom"/>
            <w:vMerge w:val="restart"/>
          </w:tcPr>
          <w:p>
            <w:pPr>
              <w:jc w:val="right"/>
              <w:ind w:right="698"/>
              <w:spacing w:after="0"/>
              <w:rPr>
                <w:sz w:val="20"/>
                <w:szCs w:val="20"/>
                <w:color w:val="auto"/>
              </w:rPr>
            </w:pPr>
            <w:r>
              <w:rPr>
                <w:rFonts w:ascii="Arial" w:cs="Arial" w:eastAsia="Arial" w:hAnsi="Arial"/>
                <w:sz w:val="12"/>
                <w:szCs w:val="12"/>
                <w:b w:val="1"/>
                <w:bCs w:val="1"/>
                <w:color w:val="auto"/>
              </w:rPr>
              <w:t>31/12/2024</w:t>
            </w:r>
          </w:p>
        </w:tc>
        <w:tc>
          <w:tcPr>
            <w:tcW w:w="152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300" w:type="dxa"/>
            <w:vAlign w:val="bottom"/>
            <w:vMerge w:val="restart"/>
          </w:tcPr>
          <w:p>
            <w:pPr>
              <w:jc w:val="right"/>
              <w:ind w:right="418"/>
              <w:spacing w:after="0"/>
              <w:rPr>
                <w:sz w:val="20"/>
                <w:szCs w:val="20"/>
                <w:color w:val="auto"/>
              </w:rPr>
            </w:pPr>
            <w:r>
              <w:rPr>
                <w:rFonts w:ascii="Arial" w:cs="Arial" w:eastAsia="Arial" w:hAnsi="Arial"/>
                <w:sz w:val="12"/>
                <w:szCs w:val="12"/>
                <w:b w:val="1"/>
                <w:bCs w:val="1"/>
                <w:color w:val="E99D25"/>
              </w:rPr>
              <w:t>6/30/2025</w:t>
            </w: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1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1020" w:type="dxa"/>
            <w:vAlign w:val="bottom"/>
            <w:tcBorders>
              <w:bottom w:val="single" w:sz="8" w:color="FDF6EA"/>
            </w:tcBorders>
            <w:shd w:val="clear" w:color="auto" w:fill="FDF6EA"/>
          </w:tcPr>
          <w:p>
            <w:pPr>
              <w:ind w:left="20"/>
              <w:spacing w:after="0"/>
              <w:rPr>
                <w:sz w:val="20"/>
                <w:szCs w:val="20"/>
                <w:color w:val="auto"/>
              </w:rPr>
            </w:pPr>
            <w:r>
              <w:rPr>
                <w:rFonts w:ascii="Arial" w:cs="Arial" w:eastAsia="Arial" w:hAnsi="Arial"/>
                <w:sz w:val="12"/>
                <w:szCs w:val="12"/>
                <w:color w:val="auto"/>
              </w:rPr>
              <w:t>Convertible loan</w:t>
            </w:r>
          </w:p>
        </w:tc>
        <w:tc>
          <w:tcPr>
            <w:tcW w:w="2340" w:type="dxa"/>
            <w:vAlign w:val="bottom"/>
            <w:tcBorders>
              <w:bottom w:val="single" w:sz="8" w:color="FDF6EA"/>
            </w:tcBorders>
            <w:shd w:val="clear" w:color="auto" w:fill="FDF6EA"/>
          </w:tcPr>
          <w:p>
            <w:pPr>
              <w:spacing w:after="0"/>
              <w:rPr>
                <w:sz w:val="14"/>
                <w:szCs w:val="14"/>
                <w:color w:val="auto"/>
              </w:rPr>
            </w:pPr>
          </w:p>
        </w:tc>
        <w:tc>
          <w:tcPr>
            <w:tcW w:w="3100" w:type="dxa"/>
            <w:vAlign w:val="bottom"/>
            <w:tcBorders>
              <w:bottom w:val="single" w:sz="8" w:color="FDF6EA"/>
            </w:tcBorders>
            <w:shd w:val="clear" w:color="auto" w:fill="FDF6EA"/>
          </w:tcPr>
          <w:p>
            <w:pPr>
              <w:jc w:val="right"/>
              <w:ind w:right="318"/>
              <w:spacing w:after="0"/>
              <w:rPr>
                <w:sz w:val="20"/>
                <w:szCs w:val="20"/>
                <w:color w:val="auto"/>
              </w:rPr>
            </w:pPr>
            <w:r>
              <w:rPr>
                <w:rFonts w:ascii="Arial" w:cs="Arial" w:eastAsia="Arial" w:hAnsi="Arial"/>
                <w:sz w:val="12"/>
                <w:szCs w:val="12"/>
                <w:color w:val="auto"/>
              </w:rPr>
              <w:t>54,572</w:t>
            </w:r>
          </w:p>
        </w:tc>
        <w:tc>
          <w:tcPr>
            <w:tcW w:w="1520" w:type="dxa"/>
            <w:vAlign w:val="bottom"/>
            <w:tcBorders>
              <w:bottom w:val="single" w:sz="8" w:color="FDF6EA"/>
            </w:tcBorders>
            <w:shd w:val="clear" w:color="auto" w:fill="FDF6EA"/>
          </w:tcPr>
          <w:p>
            <w:pPr>
              <w:jc w:val="right"/>
              <w:ind w:right="178"/>
              <w:spacing w:after="0"/>
              <w:rPr>
                <w:sz w:val="20"/>
                <w:szCs w:val="20"/>
                <w:color w:val="auto"/>
              </w:rPr>
            </w:pPr>
            <w:r>
              <w:rPr>
                <w:rFonts w:ascii="Arial" w:cs="Arial" w:eastAsia="Arial" w:hAnsi="Arial"/>
                <w:sz w:val="12"/>
                <w:szCs w:val="12"/>
                <w:color w:val="auto"/>
              </w:rPr>
              <w:t>(61,665)</w:t>
            </w:r>
          </w:p>
        </w:tc>
        <w:tc>
          <w:tcPr>
            <w:tcW w:w="1940" w:type="dxa"/>
            <w:vAlign w:val="bottom"/>
            <w:tcBorders>
              <w:bottom w:val="single" w:sz="8" w:color="FDF6EA"/>
            </w:tcBorders>
            <w:shd w:val="clear" w:color="auto" w:fill="FDF6EA"/>
          </w:tcPr>
          <w:p>
            <w:pPr>
              <w:jc w:val="right"/>
              <w:ind w:right="198"/>
              <w:spacing w:after="0"/>
              <w:rPr>
                <w:sz w:val="20"/>
                <w:szCs w:val="20"/>
                <w:color w:val="auto"/>
              </w:rPr>
            </w:pPr>
            <w:r>
              <w:rPr>
                <w:rFonts w:ascii="Arial" w:cs="Arial" w:eastAsia="Arial" w:hAnsi="Arial"/>
                <w:sz w:val="12"/>
                <w:szCs w:val="12"/>
                <w:color w:val="auto"/>
              </w:rPr>
              <w:t>7,675</w:t>
            </w:r>
          </w:p>
        </w:tc>
        <w:tc>
          <w:tcPr>
            <w:tcW w:w="1300" w:type="dxa"/>
            <w:vAlign w:val="bottom"/>
            <w:tcBorders>
              <w:bottom w:val="single" w:sz="8" w:color="FDF6EA"/>
            </w:tcBorders>
            <w:shd w:val="clear" w:color="auto" w:fill="FDF6EA"/>
          </w:tcPr>
          <w:p>
            <w:pPr>
              <w:jc w:val="right"/>
              <w:spacing w:after="0"/>
              <w:rPr>
                <w:sz w:val="20"/>
                <w:szCs w:val="20"/>
                <w:color w:val="auto"/>
              </w:rPr>
            </w:pPr>
            <w:r>
              <w:rPr>
                <w:rFonts w:ascii="Arial" w:cs="Arial" w:eastAsia="Arial" w:hAnsi="Arial"/>
                <w:sz w:val="12"/>
                <w:szCs w:val="12"/>
                <w:color w:val="auto"/>
              </w:rPr>
              <w:t>582</w:t>
            </w:r>
          </w:p>
        </w:tc>
        <w:tc>
          <w:tcPr>
            <w:tcW w:w="0" w:type="dxa"/>
            <w:vAlign w:val="bottom"/>
          </w:tcPr>
          <w:p>
            <w:pPr>
              <w:spacing w:after="0"/>
              <w:rPr>
                <w:sz w:val="1"/>
                <w:szCs w:val="1"/>
                <w:color w:val="auto"/>
              </w:rPr>
            </w:pPr>
          </w:p>
        </w:tc>
      </w:tr>
      <w:tr>
        <w:trPr>
          <w:trHeight w:val="173"/>
        </w:trPr>
        <w:tc>
          <w:tcPr>
            <w:tcW w:w="1020" w:type="dxa"/>
            <w:vAlign w:val="bottom"/>
          </w:tcPr>
          <w:p>
            <w:pPr>
              <w:ind w:left="20"/>
              <w:spacing w:after="0"/>
              <w:rPr>
                <w:sz w:val="20"/>
                <w:szCs w:val="20"/>
                <w:color w:val="auto"/>
              </w:rPr>
            </w:pPr>
            <w:r>
              <w:rPr>
                <w:rFonts w:ascii="Arial" w:cs="Arial" w:eastAsia="Arial" w:hAnsi="Arial"/>
                <w:sz w:val="12"/>
                <w:szCs w:val="12"/>
                <w:color w:val="auto"/>
              </w:rPr>
              <w:t>Bank loans</w:t>
            </w:r>
          </w:p>
        </w:tc>
        <w:tc>
          <w:tcPr>
            <w:tcW w:w="2340" w:type="dxa"/>
            <w:vAlign w:val="bottom"/>
          </w:tcPr>
          <w:p>
            <w:pPr>
              <w:spacing w:after="0"/>
              <w:rPr>
                <w:sz w:val="15"/>
                <w:szCs w:val="15"/>
                <w:color w:val="auto"/>
              </w:rPr>
            </w:pPr>
          </w:p>
        </w:tc>
        <w:tc>
          <w:tcPr>
            <w:tcW w:w="3100" w:type="dxa"/>
            <w:vAlign w:val="bottom"/>
          </w:tcPr>
          <w:p>
            <w:pPr>
              <w:jc w:val="right"/>
              <w:ind w:right="318"/>
              <w:spacing w:after="0"/>
              <w:rPr>
                <w:sz w:val="20"/>
                <w:szCs w:val="20"/>
                <w:color w:val="auto"/>
              </w:rPr>
            </w:pPr>
            <w:r>
              <w:rPr>
                <w:rFonts w:ascii="Arial" w:cs="Arial" w:eastAsia="Arial" w:hAnsi="Arial"/>
                <w:sz w:val="12"/>
                <w:szCs w:val="12"/>
                <w:color w:val="auto"/>
              </w:rPr>
              <w:t>2,496</w:t>
            </w:r>
          </w:p>
        </w:tc>
        <w:tc>
          <w:tcPr>
            <w:tcW w:w="1520" w:type="dxa"/>
            <w:vAlign w:val="bottom"/>
          </w:tcPr>
          <w:p>
            <w:pPr>
              <w:jc w:val="right"/>
              <w:ind w:right="178"/>
              <w:spacing w:after="0"/>
              <w:rPr>
                <w:sz w:val="20"/>
                <w:szCs w:val="20"/>
                <w:color w:val="auto"/>
              </w:rPr>
            </w:pPr>
            <w:r>
              <w:rPr>
                <w:rFonts w:ascii="Arial" w:cs="Arial" w:eastAsia="Arial" w:hAnsi="Arial"/>
                <w:sz w:val="12"/>
                <w:szCs w:val="12"/>
                <w:color w:val="auto"/>
              </w:rPr>
              <w:t>(420)</w:t>
            </w:r>
          </w:p>
        </w:tc>
        <w:tc>
          <w:tcPr>
            <w:tcW w:w="19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2,076</w:t>
            </w:r>
          </w:p>
        </w:tc>
        <w:tc>
          <w:tcPr>
            <w:tcW w:w="0" w:type="dxa"/>
            <w:vAlign w:val="bottom"/>
          </w:tcPr>
          <w:p>
            <w:pPr>
              <w:spacing w:after="0"/>
              <w:rPr>
                <w:sz w:val="1"/>
                <w:szCs w:val="1"/>
                <w:color w:val="auto"/>
              </w:rPr>
            </w:pPr>
          </w:p>
        </w:tc>
      </w:tr>
      <w:tr>
        <w:trPr>
          <w:trHeight w:val="26"/>
        </w:trPr>
        <w:tc>
          <w:tcPr>
            <w:tcW w:w="3360" w:type="dxa"/>
            <w:vAlign w:val="bottom"/>
            <w:gridSpan w:val="2"/>
          </w:tcPr>
          <w:p>
            <w:pPr>
              <w:spacing w:after="0"/>
              <w:rPr>
                <w:sz w:val="2"/>
                <w:szCs w:val="2"/>
                <w:color w:val="auto"/>
              </w:rPr>
            </w:pPr>
          </w:p>
        </w:tc>
        <w:tc>
          <w:tcPr>
            <w:tcW w:w="3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3360" w:type="dxa"/>
            <w:vAlign w:val="bottom"/>
            <w:tcBorders>
              <w:bottom w:val="single" w:sz="8" w:color="FDF6EA"/>
            </w:tcBorders>
            <w:gridSpan w:val="2"/>
            <w:shd w:val="clear" w:color="auto" w:fill="FDF6EA"/>
          </w:tcPr>
          <w:p>
            <w:pPr>
              <w:ind w:left="20"/>
              <w:spacing w:after="0"/>
              <w:rPr>
                <w:sz w:val="20"/>
                <w:szCs w:val="20"/>
                <w:color w:val="auto"/>
              </w:rPr>
            </w:pPr>
            <w:r>
              <w:rPr>
                <w:rFonts w:ascii="Arial" w:cs="Arial" w:eastAsia="Arial" w:hAnsi="Arial"/>
                <w:sz w:val="12"/>
                <w:szCs w:val="12"/>
                <w:color w:val="auto"/>
              </w:rPr>
              <w:t>Royalty Financing Agreement</w:t>
            </w:r>
          </w:p>
        </w:tc>
        <w:tc>
          <w:tcPr>
            <w:tcW w:w="3100" w:type="dxa"/>
            <w:vAlign w:val="bottom"/>
            <w:tcBorders>
              <w:bottom w:val="single" w:sz="8" w:color="FDF6EA"/>
            </w:tcBorders>
            <w:shd w:val="clear" w:color="auto" w:fill="FDF6EA"/>
          </w:tcPr>
          <w:p>
            <w:pPr>
              <w:jc w:val="right"/>
              <w:ind w:right="318"/>
              <w:spacing w:after="0"/>
              <w:rPr>
                <w:sz w:val="20"/>
                <w:szCs w:val="20"/>
                <w:color w:val="auto"/>
              </w:rPr>
            </w:pPr>
            <w:r>
              <w:rPr>
                <w:rFonts w:ascii="Arial" w:cs="Arial" w:eastAsia="Arial" w:hAnsi="Arial"/>
                <w:sz w:val="12"/>
                <w:szCs w:val="12"/>
                <w:color w:val="auto"/>
              </w:rPr>
              <w:t>—</w:t>
            </w:r>
          </w:p>
        </w:tc>
        <w:tc>
          <w:tcPr>
            <w:tcW w:w="1520" w:type="dxa"/>
            <w:vAlign w:val="bottom"/>
            <w:tcBorders>
              <w:bottom w:val="single" w:sz="8" w:color="FDF6EA"/>
            </w:tcBorders>
            <w:shd w:val="clear" w:color="auto" w:fill="FDF6EA"/>
          </w:tcPr>
          <w:p>
            <w:pPr>
              <w:jc w:val="right"/>
              <w:ind w:right="218"/>
              <w:spacing w:after="0"/>
              <w:rPr>
                <w:sz w:val="20"/>
                <w:szCs w:val="20"/>
                <w:color w:val="auto"/>
              </w:rPr>
            </w:pPr>
            <w:r>
              <w:rPr>
                <w:rFonts w:ascii="Arial" w:cs="Arial" w:eastAsia="Arial" w:hAnsi="Arial"/>
                <w:sz w:val="12"/>
                <w:szCs w:val="12"/>
                <w:color w:val="auto"/>
              </w:rPr>
              <w:t>125,508</w:t>
            </w:r>
          </w:p>
        </w:tc>
        <w:tc>
          <w:tcPr>
            <w:tcW w:w="1940" w:type="dxa"/>
            <w:vAlign w:val="bottom"/>
            <w:tcBorders>
              <w:bottom w:val="single" w:sz="8" w:color="FDF6EA"/>
            </w:tcBorders>
            <w:shd w:val="clear" w:color="auto" w:fill="FDF6EA"/>
          </w:tcPr>
          <w:p>
            <w:pPr>
              <w:jc w:val="right"/>
              <w:ind w:right="198"/>
              <w:spacing w:after="0"/>
              <w:rPr>
                <w:sz w:val="20"/>
                <w:szCs w:val="20"/>
                <w:color w:val="auto"/>
              </w:rPr>
            </w:pPr>
            <w:r>
              <w:rPr>
                <w:rFonts w:ascii="Arial" w:cs="Arial" w:eastAsia="Arial" w:hAnsi="Arial"/>
                <w:sz w:val="12"/>
                <w:szCs w:val="12"/>
                <w:color w:val="auto"/>
              </w:rPr>
              <w:t>6,091</w:t>
            </w:r>
          </w:p>
        </w:tc>
        <w:tc>
          <w:tcPr>
            <w:tcW w:w="1300" w:type="dxa"/>
            <w:vAlign w:val="bottom"/>
            <w:tcBorders>
              <w:bottom w:val="single" w:sz="8" w:color="FDF6EA"/>
            </w:tcBorders>
            <w:shd w:val="clear" w:color="auto" w:fill="FDF6EA"/>
          </w:tcPr>
          <w:p>
            <w:pPr>
              <w:jc w:val="right"/>
              <w:spacing w:after="0"/>
              <w:rPr>
                <w:sz w:val="20"/>
                <w:szCs w:val="20"/>
                <w:color w:val="auto"/>
              </w:rPr>
            </w:pPr>
            <w:r>
              <w:rPr>
                <w:rFonts w:ascii="Arial" w:cs="Arial" w:eastAsia="Arial" w:hAnsi="Arial"/>
                <w:sz w:val="12"/>
                <w:szCs w:val="12"/>
                <w:color w:val="auto"/>
              </w:rPr>
              <w:t>131,599</w:t>
            </w:r>
          </w:p>
        </w:tc>
        <w:tc>
          <w:tcPr>
            <w:tcW w:w="0" w:type="dxa"/>
            <w:vAlign w:val="bottom"/>
          </w:tcPr>
          <w:p>
            <w:pPr>
              <w:spacing w:after="0"/>
              <w:rPr>
                <w:sz w:val="1"/>
                <w:szCs w:val="1"/>
                <w:color w:val="auto"/>
              </w:rPr>
            </w:pPr>
          </w:p>
        </w:tc>
      </w:tr>
      <w:tr>
        <w:trPr>
          <w:trHeight w:val="173"/>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Obligations under leases</w:t>
            </w:r>
          </w:p>
        </w:tc>
        <w:tc>
          <w:tcPr>
            <w:tcW w:w="3100" w:type="dxa"/>
            <w:vAlign w:val="bottom"/>
          </w:tcPr>
          <w:p>
            <w:pPr>
              <w:jc w:val="right"/>
              <w:ind w:right="318"/>
              <w:spacing w:after="0"/>
              <w:rPr>
                <w:sz w:val="20"/>
                <w:szCs w:val="20"/>
                <w:color w:val="auto"/>
              </w:rPr>
            </w:pPr>
            <w:r>
              <w:rPr>
                <w:rFonts w:ascii="Arial" w:cs="Arial" w:eastAsia="Arial" w:hAnsi="Arial"/>
                <w:sz w:val="12"/>
                <w:szCs w:val="12"/>
                <w:color w:val="auto"/>
              </w:rPr>
              <w:t>5,060</w:t>
            </w:r>
          </w:p>
        </w:tc>
        <w:tc>
          <w:tcPr>
            <w:tcW w:w="1520" w:type="dxa"/>
            <w:vAlign w:val="bottom"/>
          </w:tcPr>
          <w:p>
            <w:pPr>
              <w:jc w:val="right"/>
              <w:ind w:right="178"/>
              <w:spacing w:after="0"/>
              <w:rPr>
                <w:sz w:val="20"/>
                <w:szCs w:val="20"/>
                <w:color w:val="auto"/>
              </w:rPr>
            </w:pPr>
            <w:r>
              <w:rPr>
                <w:rFonts w:ascii="Arial" w:cs="Arial" w:eastAsia="Arial" w:hAnsi="Arial"/>
                <w:sz w:val="12"/>
                <w:szCs w:val="12"/>
                <w:color w:val="auto"/>
              </w:rPr>
              <w:t>(577)</w:t>
            </w:r>
          </w:p>
        </w:tc>
        <w:tc>
          <w:tcPr>
            <w:tcW w:w="1940" w:type="dxa"/>
            <w:vAlign w:val="bottom"/>
          </w:tcPr>
          <w:p>
            <w:pPr>
              <w:jc w:val="right"/>
              <w:ind w:right="198"/>
              <w:spacing w:after="0"/>
              <w:rPr>
                <w:sz w:val="20"/>
                <w:szCs w:val="20"/>
                <w:color w:val="auto"/>
              </w:rPr>
            </w:pPr>
            <w:r>
              <w:rPr>
                <w:rFonts w:ascii="Arial" w:cs="Arial" w:eastAsia="Arial" w:hAnsi="Arial"/>
                <w:sz w:val="12"/>
                <w:szCs w:val="12"/>
                <w:color w:val="auto"/>
              </w:rPr>
              <w:t>169</w:t>
            </w:r>
          </w:p>
        </w:tc>
        <w:tc>
          <w:tcPr>
            <w:tcW w:w="1300" w:type="dxa"/>
            <w:vAlign w:val="bottom"/>
          </w:tcPr>
          <w:p>
            <w:pPr>
              <w:jc w:val="right"/>
              <w:spacing w:after="0"/>
              <w:rPr>
                <w:sz w:val="20"/>
                <w:szCs w:val="20"/>
                <w:color w:val="auto"/>
              </w:rPr>
            </w:pPr>
            <w:r>
              <w:rPr>
                <w:rFonts w:ascii="Arial" w:cs="Arial" w:eastAsia="Arial" w:hAnsi="Arial"/>
                <w:sz w:val="12"/>
                <w:szCs w:val="12"/>
                <w:color w:val="auto"/>
              </w:rPr>
              <w:t>4,652</w:t>
            </w:r>
          </w:p>
        </w:tc>
        <w:tc>
          <w:tcPr>
            <w:tcW w:w="0" w:type="dxa"/>
            <w:vAlign w:val="bottom"/>
          </w:tcPr>
          <w:p>
            <w:pPr>
              <w:spacing w:after="0"/>
              <w:rPr>
                <w:sz w:val="1"/>
                <w:szCs w:val="1"/>
                <w:color w:val="auto"/>
              </w:rPr>
            </w:pPr>
          </w:p>
        </w:tc>
      </w:tr>
      <w:tr>
        <w:trPr>
          <w:trHeight w:val="26"/>
        </w:trPr>
        <w:tc>
          <w:tcPr>
            <w:tcW w:w="10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1020" w:type="dxa"/>
            <w:vAlign w:val="bottom"/>
          </w:tcPr>
          <w:p>
            <w:pPr>
              <w:ind w:left="20"/>
              <w:spacing w:after="0"/>
              <w:rPr>
                <w:sz w:val="20"/>
                <w:szCs w:val="20"/>
                <w:color w:val="auto"/>
              </w:rPr>
            </w:pPr>
            <w:r>
              <w:rPr>
                <w:rFonts w:ascii="Arial" w:cs="Arial" w:eastAsia="Arial" w:hAnsi="Arial"/>
                <w:sz w:val="12"/>
                <w:szCs w:val="12"/>
                <w:b w:val="1"/>
                <w:bCs w:val="1"/>
                <w:color w:val="E79B3F"/>
              </w:rPr>
              <w:t>TOTAL</w:t>
            </w:r>
          </w:p>
        </w:tc>
        <w:tc>
          <w:tcPr>
            <w:tcW w:w="2340" w:type="dxa"/>
            <w:vAlign w:val="bottom"/>
          </w:tcPr>
          <w:p>
            <w:pPr>
              <w:spacing w:after="0"/>
              <w:rPr>
                <w:sz w:val="14"/>
                <w:szCs w:val="14"/>
                <w:color w:val="auto"/>
              </w:rPr>
            </w:pPr>
          </w:p>
        </w:tc>
        <w:tc>
          <w:tcPr>
            <w:tcW w:w="3100" w:type="dxa"/>
            <w:vAlign w:val="bottom"/>
          </w:tcPr>
          <w:p>
            <w:pPr>
              <w:jc w:val="right"/>
              <w:ind w:right="318"/>
              <w:spacing w:after="0"/>
              <w:rPr>
                <w:sz w:val="20"/>
                <w:szCs w:val="20"/>
                <w:color w:val="auto"/>
              </w:rPr>
            </w:pPr>
            <w:r>
              <w:rPr>
                <w:rFonts w:ascii="Arial" w:cs="Arial" w:eastAsia="Arial" w:hAnsi="Arial"/>
                <w:sz w:val="12"/>
                <w:szCs w:val="12"/>
                <w:b w:val="1"/>
                <w:bCs w:val="1"/>
                <w:color w:val="E79B3F"/>
              </w:rPr>
              <w:t>62,128</w:t>
            </w:r>
          </w:p>
        </w:tc>
        <w:tc>
          <w:tcPr>
            <w:tcW w:w="1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b w:val="1"/>
                <w:bCs w:val="1"/>
                <w:color w:val="E79B3F"/>
              </w:rPr>
              <w:t>138,909</w:t>
            </w:r>
          </w:p>
        </w:tc>
        <w:tc>
          <w:tcPr>
            <w:tcW w:w="0" w:type="dxa"/>
            <w:vAlign w:val="bottom"/>
          </w:tcPr>
          <w:p>
            <w:pPr>
              <w:spacing w:after="0"/>
              <w:rPr>
                <w:sz w:val="1"/>
                <w:szCs w:val="1"/>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 xml:space="preserve">Non cash changes related to the convertible loan stem from the 2025 repurchase as detailed in </w:t>
      </w:r>
      <w:r>
        <w:rPr>
          <w:rFonts w:ascii="Arial" w:cs="Arial" w:eastAsia="Arial" w:hAnsi="Arial"/>
          <w:sz w:val="15"/>
          <w:szCs w:val="15"/>
          <w:u w:val="single" w:color="auto"/>
          <w:color w:val="0000FF"/>
        </w:rPr>
        <w:t>Note 17.2 - Breakdown of Convertible loan</w:t>
      </w:r>
      <w:r>
        <w:rPr>
          <w:rFonts w:ascii="Arial" w:cs="Arial" w:eastAsia="Arial" w:hAnsi="Arial"/>
          <w:sz w:val="15"/>
          <w:szCs w:val="15"/>
          <w:color w:val="3C3C3B"/>
        </w:rPr>
        <w:t>.</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Non cash changes related to the Royalty Financing agreement is from changes in fair value.</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Non cash changes related to leases stems solely to annual contractual price indexation increases.</w:t>
      </w:r>
    </w:p>
    <w:p>
      <w:pPr>
        <w:spacing w:after="0" w:line="281" w:lineRule="exact"/>
        <w:rPr>
          <w:sz w:val="20"/>
          <w:szCs w:val="20"/>
          <w:color w:val="auto"/>
        </w:rPr>
      </w:pPr>
    </w:p>
    <w:p>
      <w:pPr>
        <w:ind w:left="500" w:hanging="494"/>
        <w:spacing w:after="0"/>
        <w:tabs>
          <w:tab w:leader="none" w:pos="500" w:val="left"/>
        </w:tabs>
        <w:numPr>
          <w:ilvl w:val="0"/>
          <w:numId w:val="63"/>
        </w:numPr>
        <w:rPr>
          <w:rFonts w:ascii="Arial" w:cs="Arial" w:eastAsia="Arial" w:hAnsi="Arial"/>
          <w:sz w:val="16"/>
          <w:szCs w:val="16"/>
          <w:b w:val="1"/>
          <w:bCs w:val="1"/>
          <w:color w:val="E99D25"/>
        </w:rPr>
      </w:pPr>
      <w:r>
        <w:rPr>
          <w:rFonts w:ascii="Arial" w:cs="Arial" w:eastAsia="Arial" w:hAnsi="Arial"/>
          <w:sz w:val="16"/>
          <w:szCs w:val="16"/>
          <w:b w:val="1"/>
          <w:bCs w:val="1"/>
          <w:color w:val="E99D25"/>
        </w:rPr>
        <w:t>CURRENT TRADE AND OTHER PAYABLES</w:t>
      </w:r>
    </w:p>
    <w:p>
      <w:pPr>
        <w:spacing w:after="0" w:line="356"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3C3C3B"/>
        </w:rPr>
        <w:t>Financial detail</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Current trade and other payables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60" w:type="dxa"/>
            <w:vAlign w:val="bottom"/>
          </w:tcPr>
          <w:p>
            <w:pPr>
              <w:ind w:left="20"/>
              <w:spacing w:after="0"/>
              <w:rPr>
                <w:sz w:val="20"/>
                <w:szCs w:val="20"/>
                <w:color w:val="auto"/>
              </w:rPr>
            </w:pPr>
            <w:r>
              <w:rPr>
                <w:rFonts w:ascii="Arial" w:cs="Arial" w:eastAsia="Arial" w:hAnsi="Arial"/>
                <w:sz w:val="12"/>
                <w:szCs w:val="12"/>
                <w:b w:val="1"/>
                <w:bCs w:val="1"/>
                <w:color w:val="3C3C3B"/>
              </w:rPr>
              <w:t>Trade and other payables - Total</w:t>
            </w:r>
          </w:p>
        </w:tc>
        <w:tc>
          <w:tcPr>
            <w:tcW w:w="4740" w:type="dxa"/>
            <w:vAlign w:val="bottom"/>
          </w:tcPr>
          <w:p>
            <w:pPr>
              <w:jc w:val="right"/>
              <w:ind w:right="338"/>
              <w:spacing w:after="0"/>
              <w:rPr>
                <w:sz w:val="20"/>
                <w:szCs w:val="20"/>
                <w:color w:val="auto"/>
              </w:rPr>
            </w:pPr>
            <w:r>
              <w:rPr>
                <w:rFonts w:ascii="Arial" w:cs="Arial" w:eastAsia="Arial" w:hAnsi="Arial"/>
                <w:sz w:val="12"/>
                <w:szCs w:val="12"/>
                <w:b w:val="1"/>
                <w:bCs w:val="1"/>
                <w:color w:val="3C3C3B"/>
              </w:rPr>
              <w:t>As of</w:t>
            </w:r>
          </w:p>
        </w:tc>
        <w:tc>
          <w:tcPr>
            <w:tcW w:w="1040" w:type="dxa"/>
            <w:vAlign w:val="bottom"/>
          </w:tcPr>
          <w:p>
            <w:pPr>
              <w:spacing w:after="0"/>
              <w:rPr>
                <w:sz w:val="14"/>
                <w:szCs w:val="14"/>
                <w:color w:val="auto"/>
              </w:rPr>
            </w:pP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2"/>
        </w:trPr>
        <w:tc>
          <w:tcPr>
            <w:tcW w:w="5460" w:type="dxa"/>
            <w:vAlign w:val="bottom"/>
          </w:tcPr>
          <w:p>
            <w:pPr>
              <w:ind w:left="20"/>
              <w:spacing w:after="0"/>
              <w:rPr>
                <w:sz w:val="20"/>
                <w:szCs w:val="20"/>
                <w:color w:val="auto"/>
              </w:rPr>
            </w:pPr>
            <w:r>
              <w:rPr>
                <w:rFonts w:ascii="Arial" w:cs="Arial" w:eastAsia="Arial" w:hAnsi="Arial"/>
                <w:sz w:val="12"/>
                <w:szCs w:val="12"/>
                <w:i w:val="1"/>
                <w:iCs w:val="1"/>
                <w:color w:val="3C3C3B"/>
              </w:rPr>
              <w:t>(in € thousands)</w:t>
            </w:r>
          </w:p>
        </w:tc>
        <w:tc>
          <w:tcPr>
            <w:tcW w:w="4740" w:type="dxa"/>
            <w:vAlign w:val="bottom"/>
          </w:tcPr>
          <w:p>
            <w:pPr>
              <w:jc w:val="right"/>
              <w:ind w:right="498"/>
              <w:spacing w:after="0"/>
              <w:rPr>
                <w:sz w:val="20"/>
                <w:szCs w:val="20"/>
                <w:color w:val="auto"/>
              </w:rPr>
            </w:pPr>
            <w:r>
              <w:rPr>
                <w:rFonts w:ascii="Arial" w:cs="Arial" w:eastAsia="Arial" w:hAnsi="Arial"/>
                <w:sz w:val="12"/>
                <w:szCs w:val="12"/>
                <w:b w:val="1"/>
                <w:bCs w:val="1"/>
                <w:color w:val="3C3C3B"/>
              </w:rPr>
              <w:t>2024/12/31</w:t>
            </w:r>
          </w:p>
        </w:tc>
        <w:tc>
          <w:tcPr>
            <w:tcW w:w="104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2"/>
        </w:trPr>
        <w:tc>
          <w:tcPr>
            <w:tcW w:w="54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Trade payables</w:t>
            </w:r>
          </w:p>
        </w:tc>
        <w:tc>
          <w:tcPr>
            <w:tcW w:w="4740" w:type="dxa"/>
            <w:vAlign w:val="bottom"/>
            <w:tcBorders>
              <w:bottom w:val="single" w:sz="8" w:color="FDF5E7"/>
            </w:tcBorders>
            <w:shd w:val="clear" w:color="auto" w:fill="FDF5E7"/>
          </w:tcPr>
          <w:p>
            <w:pPr>
              <w:jc w:val="right"/>
              <w:ind w:right="538"/>
              <w:spacing w:after="0"/>
              <w:rPr>
                <w:sz w:val="20"/>
                <w:szCs w:val="20"/>
                <w:color w:val="auto"/>
              </w:rPr>
            </w:pPr>
            <w:r>
              <w:rPr>
                <w:rFonts w:ascii="Arial" w:cs="Arial" w:eastAsia="Arial" w:hAnsi="Arial"/>
                <w:sz w:val="12"/>
                <w:szCs w:val="12"/>
                <w:color w:val="auto"/>
              </w:rPr>
              <w:t>13,437</w:t>
            </w:r>
          </w:p>
        </w:tc>
        <w:tc>
          <w:tcPr>
            <w:tcW w:w="10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14,010</w:t>
            </w:r>
          </w:p>
        </w:tc>
      </w:tr>
      <w:tr>
        <w:trPr>
          <w:trHeight w:val="173"/>
        </w:trPr>
        <w:tc>
          <w:tcPr>
            <w:tcW w:w="5460" w:type="dxa"/>
            <w:vAlign w:val="bottom"/>
          </w:tcPr>
          <w:p>
            <w:pPr>
              <w:ind w:left="20"/>
              <w:spacing w:after="0"/>
              <w:rPr>
                <w:sz w:val="20"/>
                <w:szCs w:val="20"/>
                <w:color w:val="auto"/>
              </w:rPr>
            </w:pPr>
            <w:r>
              <w:rPr>
                <w:rFonts w:ascii="Arial" w:cs="Arial" w:eastAsia="Arial" w:hAnsi="Arial"/>
                <w:sz w:val="12"/>
                <w:szCs w:val="12"/>
                <w:color w:val="3C3C3B"/>
              </w:rPr>
              <w:t>Social security costs payables</w:t>
            </w:r>
          </w:p>
        </w:tc>
        <w:tc>
          <w:tcPr>
            <w:tcW w:w="4740" w:type="dxa"/>
            <w:vAlign w:val="bottom"/>
          </w:tcPr>
          <w:p>
            <w:pPr>
              <w:jc w:val="right"/>
              <w:ind w:right="538"/>
              <w:spacing w:after="0"/>
              <w:rPr>
                <w:sz w:val="20"/>
                <w:szCs w:val="20"/>
                <w:color w:val="auto"/>
              </w:rPr>
            </w:pPr>
            <w:r>
              <w:rPr>
                <w:rFonts w:ascii="Arial" w:cs="Arial" w:eastAsia="Arial" w:hAnsi="Arial"/>
                <w:sz w:val="12"/>
                <w:szCs w:val="12"/>
                <w:color w:val="auto"/>
              </w:rPr>
              <w:t>4,092</w:t>
            </w:r>
          </w:p>
        </w:tc>
        <w:tc>
          <w:tcPr>
            <w:tcW w:w="1040" w:type="dxa"/>
            <w:vAlign w:val="bottom"/>
          </w:tcPr>
          <w:p>
            <w:pPr>
              <w:jc w:val="right"/>
              <w:spacing w:after="0"/>
              <w:rPr>
                <w:sz w:val="20"/>
                <w:szCs w:val="20"/>
                <w:color w:val="auto"/>
              </w:rPr>
            </w:pPr>
            <w:r>
              <w:rPr>
                <w:rFonts w:ascii="Arial" w:cs="Arial" w:eastAsia="Arial" w:hAnsi="Arial"/>
                <w:sz w:val="12"/>
                <w:szCs w:val="12"/>
                <w:color w:val="auto"/>
              </w:rPr>
              <w:t>3,077</w:t>
            </w:r>
          </w:p>
        </w:tc>
      </w:tr>
      <w:tr>
        <w:trPr>
          <w:trHeight w:val="26"/>
        </w:trPr>
        <w:tc>
          <w:tcPr>
            <w:tcW w:w="54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79"/>
        </w:trPr>
        <w:tc>
          <w:tcPr>
            <w:tcW w:w="54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VAT payables</w:t>
            </w:r>
          </w:p>
        </w:tc>
        <w:tc>
          <w:tcPr>
            <w:tcW w:w="4740" w:type="dxa"/>
            <w:vAlign w:val="bottom"/>
            <w:tcBorders>
              <w:bottom w:val="single" w:sz="8" w:color="FDF5E7"/>
            </w:tcBorders>
            <w:shd w:val="clear" w:color="auto" w:fill="FDF5E7"/>
          </w:tcPr>
          <w:p>
            <w:pPr>
              <w:jc w:val="right"/>
              <w:ind w:right="538"/>
              <w:spacing w:after="0"/>
              <w:rPr>
                <w:sz w:val="20"/>
                <w:szCs w:val="20"/>
                <w:color w:val="auto"/>
              </w:rPr>
            </w:pPr>
            <w:r>
              <w:rPr>
                <w:rFonts w:ascii="Arial" w:cs="Arial" w:eastAsia="Arial" w:hAnsi="Arial"/>
                <w:sz w:val="12"/>
                <w:szCs w:val="12"/>
                <w:color w:val="auto"/>
              </w:rPr>
              <w:t>351</w:t>
            </w:r>
          </w:p>
        </w:tc>
        <w:tc>
          <w:tcPr>
            <w:tcW w:w="10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6,288</w:t>
            </w:r>
          </w:p>
        </w:tc>
      </w:tr>
      <w:tr>
        <w:trPr>
          <w:trHeight w:val="173"/>
        </w:trPr>
        <w:tc>
          <w:tcPr>
            <w:tcW w:w="5460" w:type="dxa"/>
            <w:vAlign w:val="bottom"/>
          </w:tcPr>
          <w:p>
            <w:pPr>
              <w:ind w:left="20"/>
              <w:spacing w:after="0"/>
              <w:rPr>
                <w:sz w:val="20"/>
                <w:szCs w:val="20"/>
                <w:color w:val="auto"/>
              </w:rPr>
            </w:pPr>
            <w:r>
              <w:rPr>
                <w:rFonts w:ascii="Arial" w:cs="Arial" w:eastAsia="Arial" w:hAnsi="Arial"/>
                <w:sz w:val="12"/>
                <w:szCs w:val="12"/>
                <w:color w:val="3C3C3B"/>
              </w:rPr>
              <w:t>Taxes payables</w:t>
            </w:r>
          </w:p>
        </w:tc>
        <w:tc>
          <w:tcPr>
            <w:tcW w:w="4740" w:type="dxa"/>
            <w:vAlign w:val="bottom"/>
          </w:tcPr>
          <w:p>
            <w:pPr>
              <w:jc w:val="right"/>
              <w:ind w:right="538"/>
              <w:spacing w:after="0"/>
              <w:rPr>
                <w:sz w:val="20"/>
                <w:szCs w:val="20"/>
                <w:color w:val="auto"/>
              </w:rPr>
            </w:pPr>
            <w:r>
              <w:rPr>
                <w:rFonts w:ascii="Arial" w:cs="Arial" w:eastAsia="Arial" w:hAnsi="Arial"/>
                <w:sz w:val="12"/>
                <w:szCs w:val="12"/>
                <w:color w:val="auto"/>
              </w:rPr>
              <w:t>218</w:t>
            </w:r>
          </w:p>
        </w:tc>
        <w:tc>
          <w:tcPr>
            <w:tcW w:w="1040" w:type="dxa"/>
            <w:vAlign w:val="bottom"/>
          </w:tcPr>
          <w:p>
            <w:pPr>
              <w:jc w:val="right"/>
              <w:spacing w:after="0"/>
              <w:rPr>
                <w:sz w:val="20"/>
                <w:szCs w:val="20"/>
                <w:color w:val="auto"/>
              </w:rPr>
            </w:pPr>
            <w:r>
              <w:rPr>
                <w:rFonts w:ascii="Arial" w:cs="Arial" w:eastAsia="Arial" w:hAnsi="Arial"/>
                <w:sz w:val="12"/>
                <w:szCs w:val="12"/>
                <w:color w:val="auto"/>
              </w:rPr>
              <w:t>176</w:t>
            </w:r>
          </w:p>
        </w:tc>
      </w:tr>
      <w:tr>
        <w:trPr>
          <w:trHeight w:val="26"/>
        </w:trPr>
        <w:tc>
          <w:tcPr>
            <w:tcW w:w="54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4"/>
        </w:trPr>
        <w:tc>
          <w:tcPr>
            <w:tcW w:w="546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3C3C3B"/>
              </w:rPr>
              <w:t>Other payables</w:t>
            </w:r>
          </w:p>
        </w:tc>
        <w:tc>
          <w:tcPr>
            <w:tcW w:w="4740" w:type="dxa"/>
            <w:vAlign w:val="bottom"/>
            <w:tcBorders>
              <w:bottom w:val="single" w:sz="8" w:color="FDF5E7"/>
            </w:tcBorders>
            <w:shd w:val="clear" w:color="auto" w:fill="FDF5E7"/>
          </w:tcPr>
          <w:p>
            <w:pPr>
              <w:jc w:val="right"/>
              <w:ind w:right="538"/>
              <w:spacing w:after="0"/>
              <w:rPr>
                <w:sz w:val="20"/>
                <w:szCs w:val="20"/>
                <w:color w:val="auto"/>
              </w:rPr>
            </w:pPr>
            <w:r>
              <w:rPr>
                <w:rFonts w:ascii="Arial" w:cs="Arial" w:eastAsia="Arial" w:hAnsi="Arial"/>
                <w:sz w:val="12"/>
                <w:szCs w:val="12"/>
                <w:color w:val="auto"/>
              </w:rPr>
              <w:t>289</w:t>
            </w:r>
          </w:p>
        </w:tc>
        <w:tc>
          <w:tcPr>
            <w:tcW w:w="10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205</w:t>
            </w:r>
          </w:p>
        </w:tc>
      </w:tr>
      <w:tr>
        <w:trPr>
          <w:trHeight w:val="172"/>
        </w:trPr>
        <w:tc>
          <w:tcPr>
            <w:tcW w:w="546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E79B3F"/>
              </w:rPr>
              <w:t>TOTAL</w:t>
            </w:r>
          </w:p>
        </w:tc>
        <w:tc>
          <w:tcPr>
            <w:tcW w:w="4740" w:type="dxa"/>
            <w:vAlign w:val="bottom"/>
            <w:tcBorders>
              <w:top w:val="single" w:sz="8" w:color="auto"/>
            </w:tcBorders>
          </w:tcPr>
          <w:p>
            <w:pPr>
              <w:jc w:val="right"/>
              <w:ind w:right="538"/>
              <w:spacing w:after="0"/>
              <w:rPr>
                <w:sz w:val="20"/>
                <w:szCs w:val="20"/>
                <w:color w:val="auto"/>
              </w:rPr>
            </w:pPr>
            <w:r>
              <w:rPr>
                <w:rFonts w:ascii="Arial" w:cs="Arial" w:eastAsia="Arial" w:hAnsi="Arial"/>
                <w:sz w:val="12"/>
                <w:szCs w:val="12"/>
                <w:b w:val="1"/>
                <w:bCs w:val="1"/>
                <w:color w:val="E79B3F"/>
              </w:rPr>
              <w:t>18,387</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E79B3F"/>
              </w:rPr>
              <w:t>23,757</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97"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8"/>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38</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44" w:name="page45"/>
    <w:bookmarkEnd w:id="44"/>
    <w:p>
      <w:pPr>
        <w:jc w:val="both"/>
        <w:ind w:firstLine="318"/>
        <w:spacing w:after="0" w:line="263" w:lineRule="auto"/>
        <w:rPr>
          <w:sz w:val="20"/>
          <w:szCs w:val="20"/>
          <w:color w:val="auto"/>
        </w:rPr>
      </w:pPr>
      <w:r>
        <w:rPr>
          <w:rFonts w:ascii="Arial" w:cs="Arial" w:eastAsia="Arial" w:hAnsi="Arial"/>
          <w:sz w:val="15"/>
          <w:szCs w:val="15"/>
          <w:color w:val="3C3C3B"/>
        </w:rPr>
        <w:t>At June 30, 2025, trade payables amounted to €14,010 (€13,437 at December 31, 2024). This change is due to a reduction in accrued expenses relating to yet unbilled amounts from the clinical trial sites via the Clinical Research Organizations (CROs) in charge of the Company's clinical trials (€8,736 and €5,426 at June 30, 2025 and December 31, 2024 respectively). The timeframe in which those invoices will be received by the Company is unknown and may be spread out over a long period after the services have been performed.</w:t>
      </w:r>
    </w:p>
    <w:p>
      <w:pPr>
        <w:spacing w:after="0" w:line="241" w:lineRule="exact"/>
        <w:rPr>
          <w:sz w:val="20"/>
          <w:szCs w:val="20"/>
          <w:color w:val="auto"/>
        </w:rPr>
      </w:pPr>
    </w:p>
    <w:p>
      <w:pPr>
        <w:ind w:left="500" w:hanging="494"/>
        <w:spacing w:after="0"/>
        <w:tabs>
          <w:tab w:leader="none" w:pos="500" w:val="left"/>
        </w:tabs>
        <w:numPr>
          <w:ilvl w:val="0"/>
          <w:numId w:val="64"/>
        </w:numPr>
        <w:rPr>
          <w:rFonts w:ascii="Arial" w:cs="Arial" w:eastAsia="Arial" w:hAnsi="Arial"/>
          <w:sz w:val="16"/>
          <w:szCs w:val="16"/>
          <w:b w:val="1"/>
          <w:bCs w:val="1"/>
          <w:color w:val="E99D25"/>
        </w:rPr>
      </w:pPr>
      <w:r>
        <w:rPr>
          <w:rFonts w:ascii="Arial" w:cs="Arial" w:eastAsia="Arial" w:hAnsi="Arial"/>
          <w:sz w:val="16"/>
          <w:szCs w:val="16"/>
          <w:b w:val="1"/>
          <w:bCs w:val="1"/>
          <w:color w:val="E99D25"/>
        </w:rPr>
        <w:t>CURRENT PROVISIONS</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3C3C3B"/>
        </w:rPr>
        <w:t>Financial detail</w:t>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At June 30, 2025 and at December 31, 2024, this line item amounted to €40 and €40,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712660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ind w:left="20"/>
              <w:spacing w:after="0"/>
              <w:rPr>
                <w:sz w:val="20"/>
                <w:szCs w:val="20"/>
                <w:color w:val="auto"/>
              </w:rPr>
            </w:pPr>
            <w:r>
              <w:rPr>
                <w:rFonts w:ascii="Arial" w:cs="Arial" w:eastAsia="Arial" w:hAnsi="Arial"/>
                <w:sz w:val="12"/>
                <w:szCs w:val="12"/>
                <w:b w:val="1"/>
                <w:bCs w:val="1"/>
                <w:color w:val="auto"/>
              </w:rPr>
              <w:t>Change in provisions</w:t>
            </w:r>
          </w:p>
        </w:tc>
        <w:tc>
          <w:tcPr>
            <w:tcW w:w="2920" w:type="dxa"/>
            <w:vAlign w:val="bottom"/>
          </w:tcPr>
          <w:p>
            <w:pPr>
              <w:jc w:val="right"/>
              <w:ind w:right="78"/>
              <w:spacing w:after="0"/>
              <w:rPr>
                <w:sz w:val="20"/>
                <w:szCs w:val="20"/>
                <w:color w:val="auto"/>
              </w:rPr>
            </w:pPr>
            <w:r>
              <w:rPr>
                <w:rFonts w:ascii="Arial" w:cs="Arial" w:eastAsia="Arial" w:hAnsi="Arial"/>
                <w:sz w:val="12"/>
                <w:szCs w:val="12"/>
                <w:b w:val="1"/>
                <w:bCs w:val="1"/>
                <w:color w:val="auto"/>
              </w:rPr>
              <w:t>As of</w:t>
            </w:r>
          </w:p>
        </w:tc>
        <w:tc>
          <w:tcPr>
            <w:tcW w:w="960" w:type="dxa"/>
            <w:vAlign w:val="bottom"/>
          </w:tcPr>
          <w:p>
            <w:pPr>
              <w:ind w:left="120"/>
              <w:spacing w:after="0"/>
              <w:rPr>
                <w:sz w:val="20"/>
                <w:szCs w:val="20"/>
                <w:color w:val="auto"/>
              </w:rPr>
            </w:pPr>
            <w:r>
              <w:rPr>
                <w:rFonts w:ascii="Arial" w:cs="Arial" w:eastAsia="Arial" w:hAnsi="Arial"/>
                <w:sz w:val="12"/>
                <w:szCs w:val="12"/>
                <w:color w:val="auto"/>
              </w:rPr>
              <w:t>Increase</w:t>
            </w:r>
          </w:p>
        </w:tc>
        <w:tc>
          <w:tcPr>
            <w:tcW w:w="800" w:type="dxa"/>
            <w:vAlign w:val="bottom"/>
          </w:tcPr>
          <w:p>
            <w:pPr>
              <w:jc w:val="center"/>
              <w:spacing w:after="0"/>
              <w:rPr>
                <w:sz w:val="20"/>
                <w:szCs w:val="20"/>
                <w:color w:val="auto"/>
              </w:rPr>
            </w:pPr>
            <w:r>
              <w:rPr>
                <w:rFonts w:ascii="Arial" w:cs="Arial" w:eastAsia="Arial" w:hAnsi="Arial"/>
                <w:sz w:val="12"/>
                <w:szCs w:val="12"/>
                <w:color w:val="auto"/>
              </w:rPr>
              <w:t>Decrease</w:t>
            </w:r>
          </w:p>
        </w:tc>
        <w:tc>
          <w:tcPr>
            <w:tcW w:w="1380" w:type="dxa"/>
            <w:vAlign w:val="bottom"/>
          </w:tcPr>
          <w:p>
            <w:pPr>
              <w:jc w:val="right"/>
              <w:ind w:right="138"/>
              <w:spacing w:after="0"/>
              <w:rPr>
                <w:sz w:val="20"/>
                <w:szCs w:val="20"/>
                <w:color w:val="auto"/>
              </w:rPr>
            </w:pPr>
            <w:r>
              <w:rPr>
                <w:rFonts w:ascii="Arial" w:cs="Arial" w:eastAsia="Arial" w:hAnsi="Arial"/>
                <w:sz w:val="12"/>
                <w:szCs w:val="12"/>
                <w:color w:val="auto"/>
              </w:rPr>
              <w:t>Decrease</w:t>
            </w:r>
          </w:p>
        </w:tc>
        <w:tc>
          <w:tcPr>
            <w:tcW w:w="6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E99D25"/>
              </w:rPr>
              <w:t>As of</w:t>
            </w:r>
          </w:p>
        </w:tc>
      </w:tr>
      <w:tr>
        <w:trPr>
          <w:trHeight w:val="199"/>
        </w:trPr>
        <w:tc>
          <w:tcPr>
            <w:tcW w:w="3440" w:type="dxa"/>
            <w:vAlign w:val="bottom"/>
          </w:tcPr>
          <w:p>
            <w:pPr>
              <w:ind w:left="20"/>
              <w:spacing w:after="0"/>
              <w:rPr>
                <w:sz w:val="20"/>
                <w:szCs w:val="20"/>
                <w:color w:val="auto"/>
              </w:rPr>
            </w:pPr>
            <w:r>
              <w:rPr>
                <w:rFonts w:ascii="Arial" w:cs="Arial" w:eastAsia="Arial" w:hAnsi="Arial"/>
                <w:sz w:val="12"/>
                <w:szCs w:val="12"/>
                <w:i w:val="1"/>
                <w:iCs w:val="1"/>
                <w:color w:val="auto"/>
              </w:rPr>
              <w:t>(in € thousands)</w:t>
            </w:r>
          </w:p>
        </w:tc>
        <w:tc>
          <w:tcPr>
            <w:tcW w:w="2920" w:type="dxa"/>
            <w:vAlign w:val="bottom"/>
          </w:tcPr>
          <w:p>
            <w:pPr>
              <w:jc w:val="right"/>
              <w:ind w:right="78"/>
              <w:spacing w:after="0"/>
              <w:rPr>
                <w:sz w:val="20"/>
                <w:szCs w:val="20"/>
                <w:color w:val="auto"/>
              </w:rPr>
            </w:pPr>
            <w:r>
              <w:rPr>
                <w:rFonts w:ascii="Arial" w:cs="Arial" w:eastAsia="Arial" w:hAnsi="Arial"/>
                <w:sz w:val="12"/>
                <w:szCs w:val="12"/>
                <w:b w:val="1"/>
                <w:bCs w:val="1"/>
                <w:color w:val="auto"/>
              </w:rPr>
              <w:t>2024/12/31</w:t>
            </w:r>
          </w:p>
        </w:tc>
        <w:tc>
          <w:tcPr>
            <w:tcW w:w="9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rPr>
              <w:t>(used)</w:t>
            </w:r>
          </w:p>
        </w:tc>
        <w:tc>
          <w:tcPr>
            <w:tcW w:w="1380" w:type="dxa"/>
            <w:vAlign w:val="bottom"/>
          </w:tcPr>
          <w:p>
            <w:pPr>
              <w:jc w:val="right"/>
              <w:ind w:right="158"/>
              <w:spacing w:after="0"/>
              <w:rPr>
                <w:sz w:val="20"/>
                <w:szCs w:val="20"/>
                <w:color w:val="auto"/>
              </w:rPr>
            </w:pPr>
            <w:r>
              <w:rPr>
                <w:rFonts w:ascii="Arial" w:cs="Arial" w:eastAsia="Arial" w:hAnsi="Arial"/>
                <w:sz w:val="12"/>
                <w:szCs w:val="12"/>
                <w:color w:val="auto"/>
              </w:rPr>
              <w:t>(unused)</w:t>
            </w:r>
          </w:p>
        </w:tc>
        <w:tc>
          <w:tcPr>
            <w:tcW w:w="6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3440" w:type="dxa"/>
            <w:vAlign w:val="bottom"/>
            <w:tcBorders>
              <w:bottom w:val="single" w:sz="8" w:color="6D6D6D"/>
            </w:tcBorders>
          </w:tcPr>
          <w:p>
            <w:pPr>
              <w:spacing w:after="0" w:line="20" w:lineRule="exact"/>
              <w:rPr>
                <w:sz w:val="1"/>
                <w:szCs w:val="1"/>
                <w:color w:val="auto"/>
              </w:rPr>
            </w:pPr>
          </w:p>
        </w:tc>
        <w:tc>
          <w:tcPr>
            <w:tcW w:w="2920" w:type="dxa"/>
            <w:vAlign w:val="bottom"/>
            <w:tcBorders>
              <w:bottom w:val="single" w:sz="8" w:color="6D6D6D"/>
            </w:tcBorders>
          </w:tcPr>
          <w:p>
            <w:pPr>
              <w:spacing w:after="0" w:line="20" w:lineRule="exact"/>
              <w:rPr>
                <w:sz w:val="1"/>
                <w:szCs w:val="1"/>
                <w:color w:val="auto"/>
              </w:rPr>
            </w:pPr>
          </w:p>
        </w:tc>
        <w:tc>
          <w:tcPr>
            <w:tcW w:w="960" w:type="dxa"/>
            <w:vAlign w:val="bottom"/>
            <w:tcBorders>
              <w:bottom w:val="single" w:sz="8" w:color="6D6D6D"/>
            </w:tcBorders>
          </w:tcPr>
          <w:p>
            <w:pPr>
              <w:spacing w:after="0" w:line="20" w:lineRule="exact"/>
              <w:rPr>
                <w:sz w:val="1"/>
                <w:szCs w:val="1"/>
                <w:color w:val="auto"/>
              </w:rPr>
            </w:pPr>
          </w:p>
        </w:tc>
        <w:tc>
          <w:tcPr>
            <w:tcW w:w="800" w:type="dxa"/>
            <w:vAlign w:val="bottom"/>
            <w:tcBorders>
              <w:bottom w:val="single" w:sz="8" w:color="6D6D6D"/>
            </w:tcBorders>
          </w:tcPr>
          <w:p>
            <w:pPr>
              <w:spacing w:after="0" w:line="20" w:lineRule="exact"/>
              <w:rPr>
                <w:sz w:val="1"/>
                <w:szCs w:val="1"/>
                <w:color w:val="auto"/>
              </w:rPr>
            </w:pPr>
          </w:p>
        </w:tc>
        <w:tc>
          <w:tcPr>
            <w:tcW w:w="1380" w:type="dxa"/>
            <w:vAlign w:val="bottom"/>
            <w:tcBorders>
              <w:bottom w:val="single" w:sz="8" w:color="6D6D6D"/>
            </w:tcBorders>
          </w:tcPr>
          <w:p>
            <w:pPr>
              <w:spacing w:after="0" w:line="20" w:lineRule="exact"/>
              <w:rPr>
                <w:sz w:val="1"/>
                <w:szCs w:val="1"/>
                <w:color w:val="auto"/>
              </w:rPr>
            </w:pPr>
          </w:p>
        </w:tc>
        <w:tc>
          <w:tcPr>
            <w:tcW w:w="680" w:type="dxa"/>
            <w:vAlign w:val="bottom"/>
            <w:tcBorders>
              <w:bottom w:val="single" w:sz="8" w:color="6D6D6D"/>
            </w:tcBorders>
          </w:tcPr>
          <w:p>
            <w:pPr>
              <w:spacing w:after="0" w:line="20" w:lineRule="exact"/>
              <w:rPr>
                <w:sz w:val="1"/>
                <w:szCs w:val="1"/>
                <w:color w:val="auto"/>
              </w:rPr>
            </w:pPr>
          </w:p>
        </w:tc>
        <w:tc>
          <w:tcPr>
            <w:tcW w:w="1040" w:type="dxa"/>
            <w:vAlign w:val="bottom"/>
            <w:tcBorders>
              <w:bottom w:val="single" w:sz="8" w:color="6D6D6D"/>
            </w:tcBorders>
          </w:tcPr>
          <w:p>
            <w:pPr>
              <w:spacing w:after="0" w:line="20" w:lineRule="exact"/>
              <w:rPr>
                <w:sz w:val="1"/>
                <w:szCs w:val="1"/>
                <w:color w:val="auto"/>
              </w:rPr>
            </w:pPr>
          </w:p>
        </w:tc>
      </w:tr>
      <w:tr>
        <w:trPr>
          <w:trHeight w:val="197"/>
        </w:trPr>
        <w:tc>
          <w:tcPr>
            <w:tcW w:w="3440" w:type="dxa"/>
            <w:vAlign w:val="bottom"/>
            <w:tcBorders>
              <w:bottom w:val="single" w:sz="8" w:color="FDF5E7"/>
            </w:tcBorders>
            <w:shd w:val="clear" w:color="auto" w:fill="FDF5E7"/>
          </w:tcPr>
          <w:p>
            <w:pPr>
              <w:ind w:left="20"/>
              <w:spacing w:after="0"/>
              <w:rPr>
                <w:sz w:val="20"/>
                <w:szCs w:val="20"/>
                <w:color w:val="auto"/>
              </w:rPr>
            </w:pPr>
            <w:r>
              <w:rPr>
                <w:rFonts w:ascii="Arial" w:cs="Arial" w:eastAsia="Arial" w:hAnsi="Arial"/>
                <w:sz w:val="12"/>
                <w:szCs w:val="12"/>
                <w:color w:val="auto"/>
              </w:rPr>
              <w:t>Provision for charges</w:t>
            </w:r>
          </w:p>
        </w:tc>
        <w:tc>
          <w:tcPr>
            <w:tcW w:w="2920" w:type="dxa"/>
            <w:vAlign w:val="bottom"/>
            <w:tcBorders>
              <w:bottom w:val="single" w:sz="8" w:color="FDF5E7"/>
            </w:tcBorders>
            <w:shd w:val="clear" w:color="auto" w:fill="FDF5E7"/>
          </w:tcPr>
          <w:p>
            <w:pPr>
              <w:jc w:val="right"/>
              <w:ind w:right="78"/>
              <w:spacing w:after="0"/>
              <w:rPr>
                <w:sz w:val="20"/>
                <w:szCs w:val="20"/>
                <w:color w:val="auto"/>
              </w:rPr>
            </w:pPr>
            <w:r>
              <w:rPr>
                <w:rFonts w:ascii="Arial" w:cs="Arial" w:eastAsia="Arial" w:hAnsi="Arial"/>
                <w:sz w:val="12"/>
                <w:szCs w:val="12"/>
                <w:color w:val="auto"/>
              </w:rPr>
              <w:t>40</w:t>
            </w:r>
          </w:p>
        </w:tc>
        <w:tc>
          <w:tcPr>
            <w:tcW w:w="960" w:type="dxa"/>
            <w:vAlign w:val="bottom"/>
            <w:tcBorders>
              <w:bottom w:val="single" w:sz="8" w:color="FDF5E7"/>
            </w:tcBorders>
            <w:shd w:val="clear" w:color="auto" w:fill="FDF5E7"/>
          </w:tcPr>
          <w:p>
            <w:pPr>
              <w:ind w:left="68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FDF5E7"/>
            </w:tcBorders>
            <w:shd w:val="clear" w:color="auto" w:fill="FDF5E7"/>
          </w:tcPr>
          <w:p>
            <w:pPr>
              <w:spacing w:after="0"/>
              <w:rPr>
                <w:sz w:val="16"/>
                <w:szCs w:val="16"/>
                <w:color w:val="auto"/>
              </w:rPr>
            </w:pPr>
          </w:p>
        </w:tc>
        <w:tc>
          <w:tcPr>
            <w:tcW w:w="1380" w:type="dxa"/>
            <w:vAlign w:val="bottom"/>
            <w:tcBorders>
              <w:bottom w:val="single" w:sz="8" w:color="FDF5E7"/>
            </w:tcBorders>
            <w:shd w:val="clear" w:color="auto" w:fill="FDF5E7"/>
          </w:tcPr>
          <w:p>
            <w:pPr>
              <w:jc w:val="right"/>
              <w:ind w:right="1138"/>
              <w:spacing w:after="0"/>
              <w:rPr>
                <w:sz w:val="20"/>
                <w:szCs w:val="20"/>
                <w:color w:val="auto"/>
              </w:rPr>
            </w:pPr>
            <w:r>
              <w:rPr>
                <w:rFonts w:ascii="Arial" w:cs="Arial" w:eastAsia="Arial" w:hAnsi="Arial"/>
                <w:sz w:val="12"/>
                <w:szCs w:val="12"/>
                <w:color w:val="auto"/>
              </w:rPr>
              <w:t>0</w:t>
            </w:r>
          </w:p>
        </w:tc>
        <w:tc>
          <w:tcPr>
            <w:tcW w:w="680" w:type="dxa"/>
            <w:vAlign w:val="bottom"/>
            <w:tcBorders>
              <w:bottom w:val="single" w:sz="8" w:color="FDF5E7"/>
            </w:tcBorders>
            <w:shd w:val="clear" w:color="auto" w:fill="FDF5E7"/>
          </w:tcPr>
          <w:p>
            <w:pPr>
              <w:jc w:val="right"/>
              <w:ind w:right="358"/>
              <w:spacing w:after="0"/>
              <w:rPr>
                <w:sz w:val="20"/>
                <w:szCs w:val="20"/>
                <w:color w:val="auto"/>
              </w:rPr>
            </w:pPr>
            <w:r>
              <w:rPr>
                <w:rFonts w:ascii="Arial" w:cs="Arial" w:eastAsia="Arial" w:hAnsi="Arial"/>
                <w:sz w:val="12"/>
                <w:szCs w:val="12"/>
                <w:color w:val="auto"/>
              </w:rPr>
              <w:t>0</w:t>
            </w:r>
          </w:p>
        </w:tc>
        <w:tc>
          <w:tcPr>
            <w:tcW w:w="10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40</w:t>
            </w:r>
          </w:p>
        </w:tc>
      </w:tr>
      <w:tr>
        <w:trPr>
          <w:trHeight w:val="172"/>
        </w:trPr>
        <w:tc>
          <w:tcPr>
            <w:tcW w:w="344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E99D25"/>
              </w:rPr>
              <w:t>TOTAL</w:t>
            </w:r>
          </w:p>
        </w:tc>
        <w:tc>
          <w:tcPr>
            <w:tcW w:w="2920" w:type="dxa"/>
            <w:vAlign w:val="bottom"/>
            <w:tcBorders>
              <w:top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40</w:t>
            </w:r>
          </w:p>
        </w:tc>
        <w:tc>
          <w:tcPr>
            <w:tcW w:w="960" w:type="dxa"/>
            <w:vAlign w:val="bottom"/>
            <w:tcBorders>
              <w:top w:val="single" w:sz="8" w:color="auto"/>
            </w:tcBorders>
          </w:tcPr>
          <w:p>
            <w:pPr>
              <w:ind w:left="680"/>
              <w:spacing w:after="0"/>
              <w:rPr>
                <w:sz w:val="20"/>
                <w:szCs w:val="20"/>
                <w:color w:val="auto"/>
              </w:rPr>
            </w:pPr>
            <w:r>
              <w:rPr>
                <w:rFonts w:ascii="Arial" w:cs="Arial" w:eastAsia="Arial" w:hAnsi="Arial"/>
                <w:sz w:val="12"/>
                <w:szCs w:val="12"/>
                <w:b w:val="1"/>
                <w:bCs w:val="1"/>
                <w:color w:val="auto"/>
              </w:rPr>
              <w:t>—</w:t>
            </w:r>
          </w:p>
        </w:tc>
        <w:tc>
          <w:tcPr>
            <w:tcW w:w="8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138"/>
              <w:spacing w:after="0"/>
              <w:rPr>
                <w:sz w:val="20"/>
                <w:szCs w:val="20"/>
                <w:color w:val="auto"/>
              </w:rPr>
            </w:pPr>
            <w:r>
              <w:rPr>
                <w:rFonts w:ascii="Arial" w:cs="Arial" w:eastAsia="Arial" w:hAnsi="Arial"/>
                <w:sz w:val="12"/>
                <w:szCs w:val="12"/>
                <w:b w:val="1"/>
                <w:bCs w:val="1"/>
                <w:color w:val="auto"/>
              </w:rPr>
              <w:t>0</w:t>
            </w:r>
          </w:p>
        </w:tc>
        <w:tc>
          <w:tcPr>
            <w:tcW w:w="680" w:type="dxa"/>
            <w:vAlign w:val="bottom"/>
            <w:tcBorders>
              <w:top w:val="single" w:sz="8" w:color="auto"/>
            </w:tcBorders>
          </w:tcPr>
          <w:p>
            <w:pPr>
              <w:jc w:val="right"/>
              <w:ind w:right="358"/>
              <w:spacing w:after="0"/>
              <w:rPr>
                <w:sz w:val="20"/>
                <w:szCs w:val="20"/>
                <w:color w:val="auto"/>
              </w:rPr>
            </w:pPr>
            <w:r>
              <w:rPr>
                <w:rFonts w:ascii="Arial" w:cs="Arial" w:eastAsia="Arial" w:hAnsi="Arial"/>
                <w:sz w:val="12"/>
                <w:szCs w:val="12"/>
                <w:b w:val="1"/>
                <w:bCs w:val="1"/>
                <w:color w:val="auto"/>
              </w:rPr>
              <w:t>0</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E99D25"/>
              </w:rPr>
              <w:t>40</w:t>
            </w: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0" w:type="dxa"/>
            <w:vAlign w:val="bottom"/>
          </w:tcPr>
          <w:p>
            <w:pPr>
              <w:spacing w:after="0"/>
              <w:rPr>
                <w:sz w:val="20"/>
                <w:szCs w:val="20"/>
                <w:color w:val="auto"/>
              </w:rPr>
            </w:pPr>
            <w:r>
              <w:rPr>
                <w:rFonts w:ascii="Arial" w:cs="Arial" w:eastAsia="Arial" w:hAnsi="Arial"/>
                <w:sz w:val="16"/>
                <w:szCs w:val="16"/>
                <w:b w:val="1"/>
                <w:bCs w:val="1"/>
                <w:color w:val="E99D25"/>
              </w:rPr>
              <w:t>20.</w:t>
            </w:r>
          </w:p>
        </w:tc>
        <w:tc>
          <w:tcPr>
            <w:tcW w:w="8080" w:type="dxa"/>
            <w:vAlign w:val="bottom"/>
            <w:gridSpan w:val="2"/>
          </w:tcPr>
          <w:p>
            <w:pPr>
              <w:ind w:left="160"/>
              <w:spacing w:after="0"/>
              <w:rPr>
                <w:sz w:val="20"/>
                <w:szCs w:val="20"/>
                <w:color w:val="auto"/>
              </w:rPr>
            </w:pPr>
            <w:r>
              <w:rPr>
                <w:rFonts w:ascii="Arial" w:cs="Arial" w:eastAsia="Arial" w:hAnsi="Arial"/>
                <w:sz w:val="16"/>
                <w:szCs w:val="16"/>
                <w:b w:val="1"/>
                <w:bCs w:val="1"/>
                <w:color w:val="E99D25"/>
              </w:rPr>
              <w:t>EQUITY</w:t>
            </w:r>
          </w:p>
        </w:tc>
        <w:tc>
          <w:tcPr>
            <w:tcW w:w="18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435"/>
        </w:trPr>
        <w:tc>
          <w:tcPr>
            <w:tcW w:w="32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Arial" w:cs="Arial" w:eastAsia="Arial" w:hAnsi="Arial"/>
                <w:sz w:val="15"/>
                <w:szCs w:val="15"/>
                <w:b w:val="1"/>
                <w:bCs w:val="1"/>
                <w:color w:val="3C3C3B"/>
              </w:rPr>
              <w:t>Detailed breakdown</w:t>
            </w:r>
          </w:p>
        </w:tc>
        <w:tc>
          <w:tcPr>
            <w:tcW w:w="18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5"/>
        </w:trPr>
        <w:tc>
          <w:tcPr>
            <w:tcW w:w="320" w:type="dxa"/>
            <w:vAlign w:val="bottom"/>
          </w:tcPr>
          <w:p>
            <w:pPr>
              <w:spacing w:after="0"/>
              <w:rPr>
                <w:sz w:val="24"/>
                <w:szCs w:val="24"/>
                <w:color w:val="auto"/>
              </w:rPr>
            </w:pPr>
          </w:p>
        </w:tc>
        <w:tc>
          <w:tcPr>
            <w:tcW w:w="940" w:type="dxa"/>
            <w:vAlign w:val="bottom"/>
            <w:tcBorders>
              <w:bottom w:val="single" w:sz="8" w:color="3C3C3B"/>
            </w:tcBorders>
          </w:tcPr>
          <w:p>
            <w:pPr>
              <w:spacing w:after="0"/>
              <w:rPr>
                <w:sz w:val="20"/>
                <w:szCs w:val="20"/>
                <w:color w:val="auto"/>
              </w:rPr>
            </w:pPr>
            <w:r>
              <w:rPr>
                <w:rFonts w:ascii="Arial" w:cs="Arial" w:eastAsia="Arial" w:hAnsi="Arial"/>
                <w:sz w:val="15"/>
                <w:szCs w:val="15"/>
                <w:b w:val="1"/>
                <w:bCs w:val="1"/>
                <w:color w:val="3C3C3B"/>
                <w:w w:val="98"/>
              </w:rPr>
              <w:t>Share capital</w:t>
            </w:r>
          </w:p>
        </w:tc>
        <w:tc>
          <w:tcPr>
            <w:tcW w:w="7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7"/>
        </w:trPr>
        <w:tc>
          <w:tcPr>
            <w:tcW w:w="8400" w:type="dxa"/>
            <w:vAlign w:val="bottom"/>
            <w:gridSpan w:val="3"/>
          </w:tcPr>
          <w:p>
            <w:pPr>
              <w:ind w:left="20"/>
              <w:spacing w:after="0"/>
              <w:rPr>
                <w:sz w:val="20"/>
                <w:szCs w:val="20"/>
                <w:color w:val="auto"/>
              </w:rPr>
            </w:pPr>
            <w:r>
              <w:rPr>
                <w:rFonts w:ascii="Arial" w:cs="Arial" w:eastAsia="Arial" w:hAnsi="Arial"/>
                <w:sz w:val="12"/>
                <w:szCs w:val="12"/>
                <w:b w:val="1"/>
                <w:bCs w:val="1"/>
                <w:color w:val="auto"/>
              </w:rPr>
              <w:t>Number of shares</w:t>
            </w:r>
          </w:p>
        </w:tc>
        <w:tc>
          <w:tcPr>
            <w:tcW w:w="1880" w:type="dxa"/>
            <w:vAlign w:val="bottom"/>
          </w:tcPr>
          <w:p>
            <w:pPr>
              <w:jc w:val="right"/>
              <w:ind w:right="258"/>
              <w:spacing w:after="0"/>
              <w:rPr>
                <w:sz w:val="20"/>
                <w:szCs w:val="20"/>
                <w:color w:val="auto"/>
              </w:rPr>
            </w:pPr>
            <w:r>
              <w:rPr>
                <w:rFonts w:ascii="Arial" w:cs="Arial" w:eastAsia="Arial" w:hAnsi="Arial"/>
                <w:sz w:val="12"/>
                <w:szCs w:val="12"/>
                <w:b w:val="1"/>
                <w:bCs w:val="1"/>
                <w:color w:val="auto"/>
              </w:rPr>
              <w:t>As of</w:t>
            </w:r>
          </w:p>
        </w:tc>
        <w:tc>
          <w:tcPr>
            <w:tcW w:w="94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2"/>
        </w:trPr>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880" w:type="dxa"/>
            <w:vAlign w:val="bottom"/>
          </w:tcPr>
          <w:p>
            <w:pPr>
              <w:jc w:val="right"/>
              <w:ind w:right="498"/>
              <w:spacing w:after="0"/>
              <w:rPr>
                <w:sz w:val="20"/>
                <w:szCs w:val="20"/>
                <w:color w:val="auto"/>
              </w:rPr>
            </w:pPr>
            <w:r>
              <w:rPr>
                <w:rFonts w:ascii="Arial" w:cs="Arial" w:eastAsia="Arial" w:hAnsi="Arial"/>
                <w:sz w:val="12"/>
                <w:szCs w:val="12"/>
                <w:b w:val="1"/>
                <w:bCs w:val="1"/>
                <w:color w:val="auto"/>
              </w:rPr>
              <w:t>2024/12/31</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E99D25"/>
              </w:rPr>
              <w:t>2025/06/30</w:t>
            </w:r>
          </w:p>
        </w:tc>
      </w:tr>
      <w:tr>
        <w:trPr>
          <w:trHeight w:val="20"/>
        </w:trPr>
        <w:tc>
          <w:tcPr>
            <w:tcW w:w="8400" w:type="dxa"/>
            <w:vAlign w:val="bottom"/>
            <w:tcBorders>
              <w:bottom w:val="single" w:sz="8" w:color="auto"/>
            </w:tcBorders>
            <w:gridSpan w:val="3"/>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2"/>
        </w:trPr>
        <w:tc>
          <w:tcPr>
            <w:tcW w:w="8400" w:type="dxa"/>
            <w:vAlign w:val="bottom"/>
            <w:tcBorders>
              <w:bottom w:val="single" w:sz="8" w:color="FDF5E7"/>
            </w:tcBorders>
            <w:gridSpan w:val="3"/>
            <w:shd w:val="clear" w:color="auto" w:fill="FDF5E7"/>
          </w:tcPr>
          <w:p>
            <w:pPr>
              <w:ind w:left="20"/>
              <w:spacing w:after="0"/>
              <w:rPr>
                <w:sz w:val="20"/>
                <w:szCs w:val="20"/>
                <w:color w:val="auto"/>
              </w:rPr>
            </w:pPr>
            <w:r>
              <w:rPr>
                <w:rFonts w:ascii="Arial" w:cs="Arial" w:eastAsia="Arial" w:hAnsi="Arial"/>
                <w:sz w:val="12"/>
                <w:szCs w:val="12"/>
                <w:color w:val="auto"/>
              </w:rPr>
              <w:t>Ordinary shares issued (€0.25 par value per share)</w:t>
            </w:r>
          </w:p>
        </w:tc>
        <w:tc>
          <w:tcPr>
            <w:tcW w:w="1880" w:type="dxa"/>
            <w:vAlign w:val="bottom"/>
            <w:tcBorders>
              <w:bottom w:val="single" w:sz="8" w:color="FDF5E7"/>
            </w:tcBorders>
            <w:shd w:val="clear" w:color="auto" w:fill="FDF5E7"/>
          </w:tcPr>
          <w:p>
            <w:pPr>
              <w:jc w:val="right"/>
              <w:ind w:right="498"/>
              <w:spacing w:after="0"/>
              <w:rPr>
                <w:sz w:val="20"/>
                <w:szCs w:val="20"/>
                <w:color w:val="auto"/>
              </w:rPr>
            </w:pPr>
            <w:r>
              <w:rPr>
                <w:rFonts w:ascii="Arial" w:cs="Arial" w:eastAsia="Arial" w:hAnsi="Arial"/>
                <w:sz w:val="12"/>
                <w:szCs w:val="12"/>
                <w:color w:val="auto"/>
              </w:rPr>
              <w:t>49,996,185</w:t>
            </w: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50,002,560</w:t>
            </w:r>
          </w:p>
        </w:tc>
      </w:tr>
      <w:tr>
        <w:trPr>
          <w:trHeight w:val="173"/>
        </w:trPr>
        <w:tc>
          <w:tcPr>
            <w:tcW w:w="8400" w:type="dxa"/>
            <w:vAlign w:val="bottom"/>
            <w:gridSpan w:val="3"/>
          </w:tcPr>
          <w:p>
            <w:pPr>
              <w:ind w:left="20"/>
              <w:spacing w:after="0"/>
              <w:rPr>
                <w:sz w:val="20"/>
                <w:szCs w:val="20"/>
                <w:color w:val="auto"/>
              </w:rPr>
            </w:pPr>
            <w:r>
              <w:rPr>
                <w:rFonts w:ascii="Arial" w:cs="Arial" w:eastAsia="Arial" w:hAnsi="Arial"/>
                <w:sz w:val="12"/>
                <w:szCs w:val="12"/>
                <w:color w:val="auto"/>
              </w:rPr>
              <w:t>Convertible preferred shares registered</w:t>
            </w:r>
          </w:p>
        </w:tc>
        <w:tc>
          <w:tcPr>
            <w:tcW w:w="1880" w:type="dxa"/>
            <w:vAlign w:val="bottom"/>
          </w:tcPr>
          <w:p>
            <w:pPr>
              <w:jc w:val="right"/>
              <w:ind w:right="498"/>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6"/>
        </w:trPr>
        <w:tc>
          <w:tcPr>
            <w:tcW w:w="8400" w:type="dxa"/>
            <w:vAlign w:val="bottom"/>
            <w:tcBorders>
              <w:bottom w:val="single" w:sz="8" w:color="6D6D6D"/>
            </w:tcBorders>
            <w:gridSpan w:val="3"/>
          </w:tcPr>
          <w:p>
            <w:pPr>
              <w:spacing w:after="0"/>
              <w:rPr>
                <w:sz w:val="2"/>
                <w:szCs w:val="2"/>
                <w:color w:val="auto"/>
              </w:rPr>
            </w:pPr>
          </w:p>
        </w:tc>
        <w:tc>
          <w:tcPr>
            <w:tcW w:w="1880" w:type="dxa"/>
            <w:vAlign w:val="bottom"/>
            <w:tcBorders>
              <w:bottom w:val="single" w:sz="8" w:color="6D6D6D"/>
            </w:tcBorders>
          </w:tcPr>
          <w:p>
            <w:pPr>
              <w:spacing w:after="0"/>
              <w:rPr>
                <w:sz w:val="2"/>
                <w:szCs w:val="2"/>
                <w:color w:val="auto"/>
              </w:rPr>
            </w:pPr>
          </w:p>
        </w:tc>
        <w:tc>
          <w:tcPr>
            <w:tcW w:w="940" w:type="dxa"/>
            <w:vAlign w:val="bottom"/>
            <w:tcBorders>
              <w:bottom w:val="single" w:sz="8" w:color="6D6D6D"/>
            </w:tcBorders>
          </w:tcPr>
          <w:p>
            <w:pPr>
              <w:spacing w:after="0"/>
              <w:rPr>
                <w:sz w:val="2"/>
                <w:szCs w:val="2"/>
                <w:color w:val="auto"/>
              </w:rPr>
            </w:pPr>
          </w:p>
        </w:tc>
      </w:tr>
      <w:tr>
        <w:trPr>
          <w:trHeight w:val="172"/>
        </w:trPr>
        <w:tc>
          <w:tcPr>
            <w:tcW w:w="8400" w:type="dxa"/>
            <w:vAlign w:val="bottom"/>
            <w:gridSpan w:val="3"/>
          </w:tcPr>
          <w:p>
            <w:pPr>
              <w:ind w:left="20"/>
              <w:spacing w:after="0"/>
              <w:rPr>
                <w:sz w:val="20"/>
                <w:szCs w:val="20"/>
                <w:color w:val="auto"/>
              </w:rPr>
            </w:pPr>
            <w:r>
              <w:rPr>
                <w:rFonts w:ascii="Arial" w:cs="Arial" w:eastAsia="Arial" w:hAnsi="Arial"/>
                <w:sz w:val="12"/>
                <w:szCs w:val="12"/>
                <w:b w:val="1"/>
                <w:bCs w:val="1"/>
                <w:color w:val="auto"/>
              </w:rPr>
              <w:t>Total shares issued</w:t>
            </w:r>
          </w:p>
        </w:tc>
        <w:tc>
          <w:tcPr>
            <w:tcW w:w="1880" w:type="dxa"/>
            <w:vAlign w:val="bottom"/>
          </w:tcPr>
          <w:p>
            <w:pPr>
              <w:jc w:val="right"/>
              <w:ind w:right="498"/>
              <w:spacing w:after="0"/>
              <w:rPr>
                <w:sz w:val="20"/>
                <w:szCs w:val="20"/>
                <w:color w:val="auto"/>
              </w:rPr>
            </w:pPr>
            <w:r>
              <w:rPr>
                <w:rFonts w:ascii="Arial" w:cs="Arial" w:eastAsia="Arial" w:hAnsi="Arial"/>
                <w:sz w:val="12"/>
                <w:szCs w:val="12"/>
                <w:b w:val="1"/>
                <w:bCs w:val="1"/>
                <w:color w:val="auto"/>
              </w:rPr>
              <w:t>49,996,185</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E99D25"/>
              </w:rPr>
              <w:t>50,002,560</w:t>
            </w:r>
          </w:p>
        </w:tc>
      </w:tr>
      <w:tr>
        <w:trPr>
          <w:trHeight w:val="20"/>
        </w:trPr>
        <w:tc>
          <w:tcPr>
            <w:tcW w:w="8400" w:type="dxa"/>
            <w:vAlign w:val="bottom"/>
            <w:tcBorders>
              <w:bottom w:val="single" w:sz="8" w:color="6D6D6D"/>
            </w:tcBorders>
            <w:gridSpan w:val="3"/>
          </w:tcPr>
          <w:p>
            <w:pPr>
              <w:spacing w:after="0" w:line="20" w:lineRule="exact"/>
              <w:rPr>
                <w:sz w:val="1"/>
                <w:szCs w:val="1"/>
                <w:color w:val="auto"/>
              </w:rPr>
            </w:pPr>
          </w:p>
        </w:tc>
        <w:tc>
          <w:tcPr>
            <w:tcW w:w="1880" w:type="dxa"/>
            <w:vAlign w:val="bottom"/>
            <w:tcBorders>
              <w:bottom w:val="single" w:sz="8" w:color="6D6D6D"/>
            </w:tcBorders>
          </w:tcPr>
          <w:p>
            <w:pPr>
              <w:spacing w:after="0" w:line="20" w:lineRule="exact"/>
              <w:rPr>
                <w:sz w:val="1"/>
                <w:szCs w:val="1"/>
                <w:color w:val="auto"/>
              </w:rPr>
            </w:pPr>
          </w:p>
        </w:tc>
        <w:tc>
          <w:tcPr>
            <w:tcW w:w="940" w:type="dxa"/>
            <w:vAlign w:val="bottom"/>
            <w:tcBorders>
              <w:bottom w:val="single" w:sz="8" w:color="6D6D6D"/>
            </w:tcBorders>
          </w:tcPr>
          <w:p>
            <w:pPr>
              <w:spacing w:after="0" w:line="20" w:lineRule="exact"/>
              <w:rPr>
                <w:sz w:val="1"/>
                <w:szCs w:val="1"/>
                <w:color w:val="auto"/>
              </w:rPr>
            </w:pPr>
          </w:p>
        </w:tc>
      </w:tr>
      <w:tr>
        <w:trPr>
          <w:trHeight w:val="172"/>
        </w:trPr>
        <w:tc>
          <w:tcPr>
            <w:tcW w:w="8400" w:type="dxa"/>
            <w:vAlign w:val="bottom"/>
            <w:tcBorders>
              <w:bottom w:val="single" w:sz="8" w:color="FDF5E7"/>
            </w:tcBorders>
            <w:gridSpan w:val="3"/>
            <w:shd w:val="clear" w:color="auto" w:fill="FDF5E7"/>
          </w:tcPr>
          <w:p>
            <w:pPr>
              <w:ind w:left="20"/>
              <w:spacing w:after="0"/>
              <w:rPr>
                <w:sz w:val="20"/>
                <w:szCs w:val="20"/>
                <w:color w:val="auto"/>
              </w:rPr>
            </w:pPr>
            <w:r>
              <w:rPr>
                <w:rFonts w:ascii="Arial" w:cs="Arial" w:eastAsia="Arial" w:hAnsi="Arial"/>
                <w:sz w:val="12"/>
                <w:szCs w:val="12"/>
                <w:color w:val="auto"/>
              </w:rPr>
              <w:t>Less treasury shares</w:t>
            </w:r>
          </w:p>
        </w:tc>
        <w:tc>
          <w:tcPr>
            <w:tcW w:w="1880" w:type="dxa"/>
            <w:vAlign w:val="bottom"/>
            <w:tcBorders>
              <w:bottom w:val="single" w:sz="8" w:color="FDF5E7"/>
            </w:tcBorders>
            <w:shd w:val="clear" w:color="auto" w:fill="FDF5E7"/>
          </w:tcPr>
          <w:p>
            <w:pPr>
              <w:jc w:val="right"/>
              <w:ind w:right="49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w:t>
            </w:r>
          </w:p>
        </w:tc>
      </w:tr>
      <w:tr>
        <w:trPr>
          <w:trHeight w:val="178"/>
        </w:trPr>
        <w:tc>
          <w:tcPr>
            <w:tcW w:w="8400" w:type="dxa"/>
            <w:vAlign w:val="bottom"/>
            <w:gridSpan w:val="3"/>
          </w:tcPr>
          <w:p>
            <w:pPr>
              <w:ind w:left="20"/>
              <w:spacing w:after="0"/>
              <w:rPr>
                <w:sz w:val="20"/>
                <w:szCs w:val="20"/>
                <w:color w:val="auto"/>
              </w:rPr>
            </w:pPr>
            <w:r>
              <w:rPr>
                <w:rFonts w:ascii="Arial" w:cs="Arial" w:eastAsia="Arial" w:hAnsi="Arial"/>
                <w:sz w:val="12"/>
                <w:szCs w:val="12"/>
                <w:b w:val="1"/>
                <w:bCs w:val="1"/>
                <w:color w:val="auto"/>
              </w:rPr>
              <w:t>Outstanding shares</w:t>
            </w:r>
          </w:p>
        </w:tc>
        <w:tc>
          <w:tcPr>
            <w:tcW w:w="1880" w:type="dxa"/>
            <w:vAlign w:val="bottom"/>
          </w:tcPr>
          <w:p>
            <w:pPr>
              <w:jc w:val="right"/>
              <w:ind w:right="498"/>
              <w:spacing w:after="0"/>
              <w:rPr>
                <w:sz w:val="20"/>
                <w:szCs w:val="20"/>
                <w:color w:val="auto"/>
              </w:rPr>
            </w:pPr>
            <w:r>
              <w:rPr>
                <w:rFonts w:ascii="Arial" w:cs="Arial" w:eastAsia="Arial" w:hAnsi="Arial"/>
                <w:sz w:val="12"/>
                <w:szCs w:val="12"/>
                <w:b w:val="1"/>
                <w:bCs w:val="1"/>
                <w:color w:val="auto"/>
              </w:rPr>
              <w:t>49,996,185</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E99D25"/>
              </w:rPr>
              <w:t>50,002,560</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auto"/>
        </w:rPr>
        <w:t>Ordinary shares are classified under shareholders' equity. Any shareholder, regardless of nationality, whose shares are fully paid-in and registered for at least two years, is entitled to double voting rights under the conditions prescribed by law (Article 32 of the Company's bylaws).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Changes in share capital in 2025</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During the six month period ended June 30, 2025:</w:t>
      </w:r>
    </w:p>
    <w:p>
      <w:pPr>
        <w:spacing w:after="0" w:line="93" w:lineRule="exact"/>
        <w:rPr>
          <w:sz w:val="20"/>
          <w:szCs w:val="20"/>
          <w:color w:val="auto"/>
        </w:rPr>
      </w:pPr>
    </w:p>
    <w:p>
      <w:pPr>
        <w:ind w:left="500" w:hanging="240"/>
        <w:spacing w:after="0"/>
        <w:tabs>
          <w:tab w:leader="none" w:pos="500" w:val="left"/>
        </w:tabs>
        <w:numPr>
          <w:ilvl w:val="0"/>
          <w:numId w:val="65"/>
        </w:numPr>
        <w:rPr>
          <w:rFonts w:ascii="Arial" w:cs="Arial" w:eastAsia="Arial" w:hAnsi="Arial"/>
          <w:sz w:val="15"/>
          <w:szCs w:val="15"/>
          <w:color w:val="3C3C3B"/>
        </w:rPr>
      </w:pPr>
      <w:r>
        <w:rPr>
          <w:rFonts w:ascii="Arial" w:cs="Arial" w:eastAsia="Arial" w:hAnsi="Arial"/>
          <w:sz w:val="15"/>
          <w:szCs w:val="15"/>
          <w:color w:val="3C3C3B"/>
        </w:rPr>
        <w:t>6,375 stock options were converted to ordinary GENFIT shares.</w:t>
      </w:r>
    </w:p>
    <w:p>
      <w:pPr>
        <w:spacing w:after="0" w:line="18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5"/>
          <w:szCs w:val="15"/>
          <w:color w:val="3C3C3B"/>
        </w:rPr>
        <w:t>At June 30, 2025, the remaining unused authorizations to issue additional share-based compensation or other share-based instruments (stock options, free shares and share warrants) represent a total of 725,000 shares.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Share premium</w:t>
      </w:r>
    </w:p>
    <w:p>
      <w:pPr>
        <w:spacing w:after="0" w:line="185"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 xml:space="preserve">The repurchase of OCEANEs in the first semester of 2025 included the corresponding derecognition of the option component recognized in "Share premium" in equity of €6.9 million. Refer to </w:t>
      </w:r>
      <w:r>
        <w:rPr>
          <w:rFonts w:ascii="Arial" w:cs="Arial" w:eastAsia="Arial" w:hAnsi="Arial"/>
          <w:sz w:val="15"/>
          <w:szCs w:val="15"/>
          <w:u w:val="single" w:color="auto"/>
          <w:color w:val="0000FF"/>
        </w:rPr>
        <w:t>Note 17.2 - Breakdown of convertible loan</w:t>
      </w:r>
      <w:r>
        <w:rPr>
          <w:rFonts w:ascii="Arial" w:cs="Arial" w:eastAsia="Arial" w:hAnsi="Arial"/>
          <w:sz w:val="15"/>
          <w:szCs w:val="15"/>
          <w:color w:val="3C3C3B"/>
        </w:rPr>
        <w:t>.</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Currency translation adjustment</w:t>
      </w:r>
    </w:p>
    <w:p>
      <w:pPr>
        <w:spacing w:after="0" w:line="172"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5"/>
          <w:szCs w:val="15"/>
          <w:color w:val="3C3C3B"/>
        </w:rPr>
        <w:t>The currency translation differences arise from the application of IAS 21 when converting the functional currencies of the Group's subsidiaries (i.e. the US dollar for GENFIT Corp and the Swiss franc for Versantis AG) into euros at each closing. The change period over period stems from the change of these two currencies' foreign exchange rates against the euro.</w:t>
      </w:r>
    </w:p>
    <w:p>
      <w:pPr>
        <w:spacing w:after="0" w:line="219" w:lineRule="exact"/>
        <w:rPr>
          <w:sz w:val="20"/>
          <w:szCs w:val="20"/>
          <w:color w:val="auto"/>
        </w:rPr>
      </w:pPr>
    </w:p>
    <w:p>
      <w:pPr>
        <w:ind w:left="500" w:hanging="494"/>
        <w:spacing w:after="0"/>
        <w:tabs>
          <w:tab w:leader="none" w:pos="500" w:val="left"/>
        </w:tabs>
        <w:numPr>
          <w:ilvl w:val="0"/>
          <w:numId w:val="66"/>
        </w:numPr>
        <w:rPr>
          <w:rFonts w:ascii="Arial" w:cs="Arial" w:eastAsia="Arial" w:hAnsi="Arial"/>
          <w:sz w:val="16"/>
          <w:szCs w:val="16"/>
          <w:b w:val="1"/>
          <w:bCs w:val="1"/>
          <w:color w:val="E99D25"/>
        </w:rPr>
      </w:pPr>
      <w:r>
        <w:rPr>
          <w:rFonts w:ascii="Arial" w:cs="Arial" w:eastAsia="Arial" w:hAnsi="Arial"/>
          <w:sz w:val="16"/>
          <w:szCs w:val="16"/>
          <w:b w:val="1"/>
          <w:bCs w:val="1"/>
          <w:color w:val="E99D25"/>
        </w:rPr>
        <w:t>FAIR VALUE OF FINANCIAL INSTRUMENTS</w:t>
      </w:r>
    </w:p>
    <w:p>
      <w:pPr>
        <w:spacing w:after="0" w:line="277"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Financial detail</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following tables provide the financial assets and liabilities carrying values by category and fair values as of June 30, 2025 and December 31, 2024:</w:t>
      </w:r>
    </w:p>
    <w:p>
      <w:pPr>
        <w:spacing w:after="0" w:line="200" w:lineRule="exact"/>
        <w:rPr>
          <w:sz w:val="20"/>
          <w:szCs w:val="20"/>
          <w:color w:val="auto"/>
        </w:rPr>
      </w:pPr>
    </w:p>
    <w:p>
      <w:pPr>
        <w:spacing w:after="0" w:line="281"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8"/>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39</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3C3C3B"/>
              </w:rPr>
              <w:t>As of 31/12/2024</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2"/>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jc w:val="right"/>
              <w:ind w:right="538"/>
              <w:spacing w:after="0"/>
              <w:rPr>
                <w:sz w:val="20"/>
                <w:szCs w:val="20"/>
                <w:color w:val="auto"/>
              </w:rPr>
            </w:pPr>
            <w:r>
              <w:rPr>
                <w:rFonts w:ascii="Arial" w:cs="Arial" w:eastAsia="Arial" w:hAnsi="Arial"/>
                <w:sz w:val="12"/>
                <w:szCs w:val="12"/>
                <w:b w:val="1"/>
                <w:bCs w:val="1"/>
                <w:color w:val="3C3C3B"/>
              </w:rPr>
              <w:t>Carrying value</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3"/>
          </w:tcPr>
          <w:p>
            <w:pPr>
              <w:jc w:val="right"/>
              <w:ind w:right="658"/>
              <w:spacing w:after="0"/>
              <w:rPr>
                <w:sz w:val="20"/>
                <w:szCs w:val="20"/>
                <w:color w:val="auto"/>
              </w:rPr>
            </w:pPr>
            <w:r>
              <w:rPr>
                <w:rFonts w:ascii="Arial" w:cs="Arial" w:eastAsia="Arial" w:hAnsi="Arial"/>
                <w:sz w:val="12"/>
                <w:szCs w:val="12"/>
                <w:b w:val="1"/>
                <w:bCs w:val="1"/>
                <w:color w:val="3C3C3B"/>
              </w:rPr>
              <w:t>Fair value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2"/>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3C3C3B"/>
              </w:rPr>
              <w:t>As per</w:t>
            </w:r>
          </w:p>
        </w:tc>
        <w:tc>
          <w:tcPr>
            <w:tcW w:w="100" w:type="dxa"/>
            <w:vAlign w:val="bottom"/>
          </w:tcPr>
          <w:p>
            <w:pPr>
              <w:spacing w:after="0"/>
              <w:rPr>
                <w:sz w:val="14"/>
                <w:szCs w:val="14"/>
                <w:color w:val="auto"/>
              </w:rPr>
            </w:pPr>
          </w:p>
        </w:tc>
        <w:tc>
          <w:tcPr>
            <w:tcW w:w="1280" w:type="dxa"/>
            <w:vAlign w:val="bottom"/>
          </w:tcPr>
          <w:p>
            <w:pPr>
              <w:jc w:val="right"/>
              <w:ind w:right="258"/>
              <w:spacing w:after="0"/>
              <w:rPr>
                <w:sz w:val="20"/>
                <w:szCs w:val="20"/>
                <w:color w:val="auto"/>
              </w:rPr>
            </w:pPr>
            <w:r>
              <w:rPr>
                <w:rFonts w:ascii="Arial" w:cs="Arial" w:eastAsia="Arial" w:hAnsi="Arial"/>
                <w:sz w:val="12"/>
                <w:szCs w:val="12"/>
                <w:b w:val="1"/>
                <w:bCs w:val="1"/>
                <w:color w:val="3C3C3B"/>
              </w:rPr>
              <w:t>Assets at</w:t>
            </w:r>
          </w:p>
        </w:tc>
        <w:tc>
          <w:tcPr>
            <w:tcW w:w="100" w:type="dxa"/>
            <w:vAlign w:val="bottom"/>
          </w:tcPr>
          <w:p>
            <w:pPr>
              <w:spacing w:after="0"/>
              <w:rPr>
                <w:sz w:val="14"/>
                <w:szCs w:val="14"/>
                <w:color w:val="auto"/>
              </w:rPr>
            </w:pPr>
          </w:p>
        </w:tc>
        <w:tc>
          <w:tcPr>
            <w:tcW w:w="1200" w:type="dxa"/>
            <w:vAlign w:val="bottom"/>
          </w:tcPr>
          <w:p>
            <w:pPr>
              <w:jc w:val="right"/>
              <w:ind w:right="458"/>
              <w:spacing w:after="0"/>
              <w:rPr>
                <w:sz w:val="20"/>
                <w:szCs w:val="20"/>
                <w:color w:val="auto"/>
              </w:rPr>
            </w:pPr>
            <w:r>
              <w:rPr>
                <w:rFonts w:ascii="Arial" w:cs="Arial" w:eastAsia="Arial" w:hAnsi="Arial"/>
                <w:sz w:val="12"/>
                <w:szCs w:val="12"/>
                <w:b w:val="1"/>
                <w:bCs w:val="1"/>
                <w:color w:val="3C3C3B"/>
              </w:rPr>
              <w:t>Assets at</w:t>
            </w:r>
          </w:p>
        </w:tc>
        <w:tc>
          <w:tcPr>
            <w:tcW w:w="1120" w:type="dxa"/>
            <w:vAlign w:val="bottom"/>
            <w:gridSpan w:val="2"/>
          </w:tcPr>
          <w:p>
            <w:pPr>
              <w:jc w:val="right"/>
              <w:ind w:right="458"/>
              <w:spacing w:after="0"/>
              <w:rPr>
                <w:sz w:val="20"/>
                <w:szCs w:val="20"/>
                <w:color w:val="auto"/>
              </w:rPr>
            </w:pPr>
            <w:r>
              <w:rPr>
                <w:rFonts w:ascii="Arial" w:cs="Arial" w:eastAsia="Arial" w:hAnsi="Arial"/>
                <w:sz w:val="12"/>
                <w:szCs w:val="12"/>
                <w:b w:val="1"/>
                <w:bCs w:val="1"/>
                <w:color w:val="3C3C3B"/>
              </w:rPr>
              <w:t>Assets at</w:t>
            </w:r>
          </w:p>
        </w:tc>
        <w:tc>
          <w:tcPr>
            <w:tcW w:w="80" w:type="dxa"/>
            <w:vAlign w:val="bottom"/>
          </w:tcPr>
          <w:p>
            <w:pPr>
              <w:spacing w:after="0"/>
              <w:rPr>
                <w:sz w:val="14"/>
                <w:szCs w:val="14"/>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3C3C3B"/>
              </w:rPr>
              <w:t>Debt at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18"/>
              <w:spacing w:after="0"/>
              <w:rPr>
                <w:sz w:val="20"/>
                <w:szCs w:val="20"/>
                <w:color w:val="auto"/>
              </w:rPr>
            </w:pPr>
            <w:r>
              <w:rPr>
                <w:rFonts w:ascii="Arial" w:cs="Arial" w:eastAsia="Arial" w:hAnsi="Arial"/>
                <w:sz w:val="12"/>
                <w:szCs w:val="12"/>
                <w:b w:val="1"/>
                <w:bCs w:val="1"/>
                <w:color w:val="3C3C3B"/>
              </w:rPr>
              <w:t>Level 1</w:t>
            </w:r>
          </w:p>
        </w:tc>
        <w:tc>
          <w:tcPr>
            <w:tcW w:w="120" w:type="dxa"/>
            <w:vAlign w:val="bottom"/>
          </w:tcPr>
          <w:p>
            <w:pPr>
              <w:spacing w:after="0"/>
              <w:rPr>
                <w:sz w:val="14"/>
                <w:szCs w:val="14"/>
                <w:color w:val="auto"/>
              </w:rPr>
            </w:pPr>
          </w:p>
        </w:tc>
        <w:tc>
          <w:tcPr>
            <w:tcW w:w="1080" w:type="dxa"/>
            <w:vAlign w:val="bottom"/>
          </w:tcPr>
          <w:p>
            <w:pPr>
              <w:jc w:val="right"/>
              <w:ind w:right="398"/>
              <w:spacing w:after="0"/>
              <w:rPr>
                <w:sz w:val="20"/>
                <w:szCs w:val="20"/>
                <w:color w:val="auto"/>
              </w:rPr>
            </w:pPr>
            <w:r>
              <w:rPr>
                <w:rFonts w:ascii="Arial" w:cs="Arial" w:eastAsia="Arial" w:hAnsi="Arial"/>
                <w:sz w:val="12"/>
                <w:szCs w:val="12"/>
                <w:b w:val="1"/>
                <w:bCs w:val="1"/>
                <w:color w:val="3C3C3B"/>
              </w:rPr>
              <w:t>Level 2</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C3C3B"/>
              </w:rPr>
              <w:t>Level 3</w:t>
            </w:r>
          </w:p>
        </w:tc>
      </w:tr>
      <w:tr>
        <w:trPr>
          <w:trHeight w:val="199"/>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3C3C3B"/>
              </w:rPr>
              <w:t>statement of</w:t>
            </w:r>
          </w:p>
        </w:tc>
        <w:tc>
          <w:tcPr>
            <w:tcW w:w="100" w:type="dxa"/>
            <w:vAlign w:val="bottom"/>
          </w:tcPr>
          <w:p>
            <w:pPr>
              <w:spacing w:after="0"/>
              <w:rPr>
                <w:sz w:val="17"/>
                <w:szCs w:val="17"/>
                <w:color w:val="auto"/>
              </w:rPr>
            </w:pPr>
          </w:p>
        </w:tc>
        <w:tc>
          <w:tcPr>
            <w:tcW w:w="1280" w:type="dxa"/>
            <w:vAlign w:val="bottom"/>
          </w:tcPr>
          <w:p>
            <w:pPr>
              <w:jc w:val="right"/>
              <w:ind w:right="258"/>
              <w:spacing w:after="0"/>
              <w:rPr>
                <w:sz w:val="20"/>
                <w:szCs w:val="20"/>
                <w:color w:val="auto"/>
              </w:rPr>
            </w:pPr>
            <w:r>
              <w:rPr>
                <w:rFonts w:ascii="Arial" w:cs="Arial" w:eastAsia="Arial" w:hAnsi="Arial"/>
                <w:sz w:val="12"/>
                <w:szCs w:val="12"/>
                <w:b w:val="1"/>
                <w:bCs w:val="1"/>
                <w:color w:val="3C3C3B"/>
              </w:rPr>
              <w:t>fair value</w:t>
            </w:r>
          </w:p>
        </w:tc>
        <w:tc>
          <w:tcPr>
            <w:tcW w:w="100" w:type="dxa"/>
            <w:vAlign w:val="bottom"/>
          </w:tcPr>
          <w:p>
            <w:pPr>
              <w:spacing w:after="0"/>
              <w:rPr>
                <w:sz w:val="17"/>
                <w:szCs w:val="17"/>
                <w:color w:val="auto"/>
              </w:rPr>
            </w:pPr>
          </w:p>
        </w:tc>
        <w:tc>
          <w:tcPr>
            <w:tcW w:w="1200" w:type="dxa"/>
            <w:vAlign w:val="bottom"/>
          </w:tcPr>
          <w:p>
            <w:pPr>
              <w:jc w:val="right"/>
              <w:ind w:right="458"/>
              <w:spacing w:after="0"/>
              <w:rPr>
                <w:sz w:val="20"/>
                <w:szCs w:val="20"/>
                <w:color w:val="auto"/>
              </w:rPr>
            </w:pPr>
            <w:r>
              <w:rPr>
                <w:rFonts w:ascii="Arial" w:cs="Arial" w:eastAsia="Arial" w:hAnsi="Arial"/>
                <w:sz w:val="12"/>
                <w:szCs w:val="12"/>
                <w:b w:val="1"/>
                <w:bCs w:val="1"/>
                <w:color w:val="3C3C3B"/>
              </w:rPr>
              <w:t>fair value</w:t>
            </w:r>
          </w:p>
        </w:tc>
        <w:tc>
          <w:tcPr>
            <w:tcW w:w="1120" w:type="dxa"/>
            <w:vAlign w:val="bottom"/>
            <w:gridSpan w:val="2"/>
          </w:tcPr>
          <w:p>
            <w:pPr>
              <w:jc w:val="right"/>
              <w:ind w:right="458"/>
              <w:spacing w:after="0"/>
              <w:rPr>
                <w:sz w:val="20"/>
                <w:szCs w:val="20"/>
                <w:color w:val="auto"/>
              </w:rPr>
            </w:pPr>
            <w:r>
              <w:rPr>
                <w:rFonts w:ascii="Arial" w:cs="Arial" w:eastAsia="Arial" w:hAnsi="Arial"/>
                <w:sz w:val="12"/>
                <w:szCs w:val="12"/>
                <w:b w:val="1"/>
                <w:bCs w:val="1"/>
                <w:color w:val="3C3C3B"/>
              </w:rPr>
              <w:t>amortized</w:t>
            </w:r>
          </w:p>
        </w:tc>
        <w:tc>
          <w:tcPr>
            <w:tcW w:w="620" w:type="dxa"/>
            <w:vAlign w:val="bottom"/>
            <w:tcBorders>
              <w:right w:val="single" w:sz="8" w:color="auto"/>
            </w:tcBorders>
            <w:gridSpan w:val="2"/>
          </w:tcPr>
          <w:p>
            <w:pPr>
              <w:jc w:val="right"/>
              <w:spacing w:after="0"/>
              <w:rPr>
                <w:sz w:val="20"/>
                <w:szCs w:val="20"/>
                <w:color w:val="auto"/>
              </w:rPr>
            </w:pPr>
            <w:r>
              <w:rPr>
                <w:rFonts w:ascii="Arial" w:cs="Arial" w:eastAsia="Arial" w:hAnsi="Arial"/>
                <w:sz w:val="12"/>
                <w:szCs w:val="12"/>
                <w:b w:val="1"/>
                <w:bCs w:val="1"/>
                <w:color w:val="3C3C3B"/>
                <w:w w:val="98"/>
              </w:rPr>
              <w:t>amortized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3C3C3B"/>
              </w:rPr>
              <w:t>financial</w:t>
            </w:r>
          </w:p>
        </w:tc>
        <w:tc>
          <w:tcPr>
            <w:tcW w:w="100" w:type="dxa"/>
            <w:vAlign w:val="bottom"/>
          </w:tcPr>
          <w:p>
            <w:pPr>
              <w:spacing w:after="0"/>
              <w:rPr>
                <w:sz w:val="17"/>
                <w:szCs w:val="17"/>
                <w:color w:val="auto"/>
              </w:rPr>
            </w:pPr>
          </w:p>
        </w:tc>
        <w:tc>
          <w:tcPr>
            <w:tcW w:w="1280" w:type="dxa"/>
            <w:vAlign w:val="bottom"/>
          </w:tcPr>
          <w:p>
            <w:pPr>
              <w:jc w:val="right"/>
              <w:ind w:right="258"/>
              <w:spacing w:after="0"/>
              <w:rPr>
                <w:sz w:val="20"/>
                <w:szCs w:val="20"/>
                <w:color w:val="auto"/>
              </w:rPr>
            </w:pPr>
            <w:r>
              <w:rPr>
                <w:rFonts w:ascii="Arial" w:cs="Arial" w:eastAsia="Arial" w:hAnsi="Arial"/>
                <w:sz w:val="12"/>
                <w:szCs w:val="12"/>
                <w:b w:val="1"/>
                <w:bCs w:val="1"/>
                <w:color w:val="3C3C3B"/>
              </w:rPr>
              <w:t>through</w:t>
            </w:r>
          </w:p>
        </w:tc>
        <w:tc>
          <w:tcPr>
            <w:tcW w:w="1300" w:type="dxa"/>
            <w:vAlign w:val="bottom"/>
            <w:gridSpan w:val="2"/>
          </w:tcPr>
          <w:p>
            <w:pPr>
              <w:jc w:val="right"/>
              <w:ind w:right="458"/>
              <w:spacing w:after="0"/>
              <w:rPr>
                <w:sz w:val="20"/>
                <w:szCs w:val="20"/>
                <w:color w:val="auto"/>
              </w:rPr>
            </w:pPr>
            <w:r>
              <w:rPr>
                <w:rFonts w:ascii="Arial" w:cs="Arial" w:eastAsia="Arial" w:hAnsi="Arial"/>
                <w:sz w:val="12"/>
                <w:szCs w:val="12"/>
                <w:b w:val="1"/>
                <w:bCs w:val="1"/>
                <w:color w:val="3C3C3B"/>
              </w:rPr>
              <w:t>through OCI</w:t>
            </w:r>
          </w:p>
        </w:tc>
        <w:tc>
          <w:tcPr>
            <w:tcW w:w="100" w:type="dxa"/>
            <w:vAlign w:val="bottom"/>
          </w:tcPr>
          <w:p>
            <w:pPr>
              <w:spacing w:after="0"/>
              <w:rPr>
                <w:sz w:val="17"/>
                <w:szCs w:val="17"/>
                <w:color w:val="auto"/>
              </w:rPr>
            </w:pPr>
          </w:p>
        </w:tc>
        <w:tc>
          <w:tcPr>
            <w:tcW w:w="1020" w:type="dxa"/>
            <w:vAlign w:val="bottom"/>
          </w:tcPr>
          <w:p>
            <w:pPr>
              <w:jc w:val="right"/>
              <w:ind w:right="458"/>
              <w:spacing w:after="0"/>
              <w:rPr>
                <w:sz w:val="20"/>
                <w:szCs w:val="20"/>
                <w:color w:val="auto"/>
              </w:rPr>
            </w:pPr>
            <w:r>
              <w:rPr>
                <w:rFonts w:ascii="Arial" w:cs="Arial" w:eastAsia="Arial" w:hAnsi="Arial"/>
                <w:sz w:val="12"/>
                <w:szCs w:val="12"/>
                <w:b w:val="1"/>
                <w:bCs w:val="1"/>
                <w:color w:val="3C3C3B"/>
              </w:rPr>
              <w:t>cost</w:t>
            </w:r>
          </w:p>
        </w:tc>
        <w:tc>
          <w:tcPr>
            <w:tcW w:w="80" w:type="dxa"/>
            <w:vAlign w:val="bottom"/>
          </w:tcPr>
          <w:p>
            <w:pPr>
              <w:spacing w:after="0"/>
              <w:rPr>
                <w:sz w:val="17"/>
                <w:szCs w:val="17"/>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3C3C3B"/>
              </w:rPr>
              <w:t>cost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2300" w:type="dxa"/>
            <w:vAlign w:val="bottom"/>
            <w:gridSpan w:val="3"/>
          </w:tcPr>
          <w:p>
            <w:pPr>
              <w:ind w:left="20"/>
              <w:spacing w:after="0"/>
              <w:rPr>
                <w:sz w:val="20"/>
                <w:szCs w:val="20"/>
                <w:color w:val="auto"/>
              </w:rPr>
            </w:pPr>
            <w:r>
              <w:rPr>
                <w:rFonts w:ascii="Arial" w:cs="Arial" w:eastAsia="Arial" w:hAnsi="Arial"/>
                <w:sz w:val="12"/>
                <w:szCs w:val="12"/>
                <w:i w:val="1"/>
                <w:iCs w:val="1"/>
                <w:color w:val="3C3C3B"/>
              </w:rPr>
              <w:t>(in € thousands)</w:t>
            </w:r>
          </w:p>
        </w:tc>
        <w:tc>
          <w:tcPr>
            <w:tcW w:w="1120" w:type="dxa"/>
            <w:vAlign w:val="bottom"/>
          </w:tcPr>
          <w:p>
            <w:pPr>
              <w:jc w:val="right"/>
              <w:spacing w:after="0"/>
              <w:rPr>
                <w:sz w:val="20"/>
                <w:szCs w:val="20"/>
                <w:color w:val="auto"/>
              </w:rPr>
            </w:pPr>
            <w:r>
              <w:rPr>
                <w:rFonts w:ascii="Arial" w:cs="Arial" w:eastAsia="Arial" w:hAnsi="Arial"/>
                <w:sz w:val="12"/>
                <w:szCs w:val="12"/>
                <w:b w:val="1"/>
                <w:bCs w:val="1"/>
                <w:color w:val="3C3C3B"/>
              </w:rPr>
              <w:t>position</w:t>
            </w:r>
          </w:p>
        </w:tc>
        <w:tc>
          <w:tcPr>
            <w:tcW w:w="100" w:type="dxa"/>
            <w:vAlign w:val="bottom"/>
          </w:tcPr>
          <w:p>
            <w:pPr>
              <w:spacing w:after="0"/>
              <w:rPr>
                <w:sz w:val="17"/>
                <w:szCs w:val="17"/>
                <w:color w:val="auto"/>
              </w:rPr>
            </w:pPr>
          </w:p>
        </w:tc>
        <w:tc>
          <w:tcPr>
            <w:tcW w:w="1280" w:type="dxa"/>
            <w:vAlign w:val="bottom"/>
          </w:tcPr>
          <w:p>
            <w:pPr>
              <w:jc w:val="right"/>
              <w:ind w:right="258"/>
              <w:spacing w:after="0"/>
              <w:rPr>
                <w:sz w:val="20"/>
                <w:szCs w:val="20"/>
                <w:color w:val="auto"/>
              </w:rPr>
            </w:pPr>
            <w:r>
              <w:rPr>
                <w:rFonts w:ascii="Arial" w:cs="Arial" w:eastAsia="Arial" w:hAnsi="Arial"/>
                <w:sz w:val="12"/>
                <w:szCs w:val="12"/>
                <w:b w:val="1"/>
                <w:bCs w:val="1"/>
                <w:color w:val="3C3C3B"/>
              </w:rPr>
              <w:t>profit &amp; loss</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2"/>
        </w:trPr>
        <w:tc>
          <w:tcPr>
            <w:tcW w:w="2300" w:type="dxa"/>
            <w:vAlign w:val="bottom"/>
            <w:gridSpan w:val="3"/>
          </w:tcPr>
          <w:p>
            <w:pPr>
              <w:ind w:left="20"/>
              <w:spacing w:after="0"/>
              <w:rPr>
                <w:sz w:val="20"/>
                <w:szCs w:val="20"/>
                <w:color w:val="auto"/>
              </w:rPr>
            </w:pPr>
            <w:r>
              <w:rPr>
                <w:rFonts w:ascii="Arial" w:cs="Arial" w:eastAsia="Arial" w:hAnsi="Arial"/>
                <w:sz w:val="12"/>
                <w:szCs w:val="12"/>
                <w:b w:val="1"/>
                <w:bCs w:val="1"/>
                <w:color w:val="3C3C3B"/>
              </w:rPr>
              <w:t>Assets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2060" w:type="dxa"/>
            <w:vAlign w:val="bottom"/>
            <w:tcBorders>
              <w:bottom w:val="single" w:sz="8" w:color="E99D25"/>
            </w:tcBorders>
          </w:tcPr>
          <w:p>
            <w:pPr>
              <w:spacing w:after="0" w:line="20" w:lineRule="exact"/>
              <w:rPr>
                <w:sz w:val="1"/>
                <w:szCs w:val="1"/>
                <w:color w:val="auto"/>
              </w:rPr>
            </w:pPr>
          </w:p>
        </w:tc>
        <w:tc>
          <w:tcPr>
            <w:tcW w:w="100" w:type="dxa"/>
            <w:vAlign w:val="bottom"/>
            <w:tcBorders>
              <w:bottom w:val="single" w:sz="8" w:color="E99D25"/>
            </w:tcBorders>
          </w:tcPr>
          <w:p>
            <w:pPr>
              <w:spacing w:after="0" w:line="20" w:lineRule="exact"/>
              <w:rPr>
                <w:sz w:val="1"/>
                <w:szCs w:val="1"/>
                <w:color w:val="auto"/>
              </w:rPr>
            </w:pPr>
          </w:p>
        </w:tc>
        <w:tc>
          <w:tcPr>
            <w:tcW w:w="140" w:type="dxa"/>
            <w:vAlign w:val="bottom"/>
            <w:tcBorders>
              <w:bottom w:val="single" w:sz="8" w:color="E99D25"/>
            </w:tcBorders>
          </w:tcPr>
          <w:p>
            <w:pPr>
              <w:spacing w:after="0" w:line="20" w:lineRule="exact"/>
              <w:rPr>
                <w:sz w:val="1"/>
                <w:szCs w:val="1"/>
                <w:color w:val="auto"/>
              </w:rPr>
            </w:pPr>
          </w:p>
        </w:tc>
        <w:tc>
          <w:tcPr>
            <w:tcW w:w="1120" w:type="dxa"/>
            <w:vAlign w:val="bottom"/>
            <w:tcBorders>
              <w:bottom w:val="single" w:sz="8" w:color="E99D25"/>
            </w:tcBorders>
          </w:tcPr>
          <w:p>
            <w:pPr>
              <w:spacing w:after="0" w:line="20" w:lineRule="exact"/>
              <w:rPr>
                <w:sz w:val="1"/>
                <w:szCs w:val="1"/>
                <w:color w:val="auto"/>
              </w:rPr>
            </w:pPr>
          </w:p>
        </w:tc>
        <w:tc>
          <w:tcPr>
            <w:tcW w:w="100" w:type="dxa"/>
            <w:vAlign w:val="bottom"/>
            <w:tcBorders>
              <w:bottom w:val="single" w:sz="8" w:color="E99D25"/>
            </w:tcBorders>
          </w:tcPr>
          <w:p>
            <w:pPr>
              <w:spacing w:after="0" w:line="20" w:lineRule="exact"/>
              <w:rPr>
                <w:sz w:val="1"/>
                <w:szCs w:val="1"/>
                <w:color w:val="auto"/>
              </w:rPr>
            </w:pPr>
          </w:p>
        </w:tc>
        <w:tc>
          <w:tcPr>
            <w:tcW w:w="1280" w:type="dxa"/>
            <w:vAlign w:val="bottom"/>
            <w:tcBorders>
              <w:bottom w:val="single" w:sz="8" w:color="E99D25"/>
            </w:tcBorders>
          </w:tcPr>
          <w:p>
            <w:pPr>
              <w:spacing w:after="0" w:line="20" w:lineRule="exact"/>
              <w:rPr>
                <w:sz w:val="1"/>
                <w:szCs w:val="1"/>
                <w:color w:val="auto"/>
              </w:rPr>
            </w:pPr>
          </w:p>
        </w:tc>
        <w:tc>
          <w:tcPr>
            <w:tcW w:w="100" w:type="dxa"/>
            <w:vAlign w:val="bottom"/>
            <w:tcBorders>
              <w:bottom w:val="single" w:sz="8" w:color="E99D25"/>
            </w:tcBorders>
          </w:tcPr>
          <w:p>
            <w:pPr>
              <w:spacing w:after="0" w:line="20" w:lineRule="exact"/>
              <w:rPr>
                <w:sz w:val="1"/>
                <w:szCs w:val="1"/>
                <w:color w:val="auto"/>
              </w:rPr>
            </w:pPr>
          </w:p>
        </w:tc>
        <w:tc>
          <w:tcPr>
            <w:tcW w:w="1200" w:type="dxa"/>
            <w:vAlign w:val="bottom"/>
            <w:tcBorders>
              <w:bottom w:val="single" w:sz="8" w:color="E99D25"/>
            </w:tcBorders>
          </w:tcPr>
          <w:p>
            <w:pPr>
              <w:spacing w:after="0" w:line="20" w:lineRule="exact"/>
              <w:rPr>
                <w:sz w:val="1"/>
                <w:szCs w:val="1"/>
                <w:color w:val="auto"/>
              </w:rPr>
            </w:pPr>
          </w:p>
        </w:tc>
        <w:tc>
          <w:tcPr>
            <w:tcW w:w="100" w:type="dxa"/>
            <w:vAlign w:val="bottom"/>
            <w:tcBorders>
              <w:bottom w:val="single" w:sz="8" w:color="E99D25"/>
            </w:tcBorders>
          </w:tcPr>
          <w:p>
            <w:pPr>
              <w:spacing w:after="0" w:line="20" w:lineRule="exact"/>
              <w:rPr>
                <w:sz w:val="1"/>
                <w:szCs w:val="1"/>
                <w:color w:val="auto"/>
              </w:rPr>
            </w:pPr>
          </w:p>
        </w:tc>
        <w:tc>
          <w:tcPr>
            <w:tcW w:w="1020" w:type="dxa"/>
            <w:vAlign w:val="bottom"/>
            <w:tcBorders>
              <w:bottom w:val="single" w:sz="8" w:color="E99D25"/>
            </w:tcBorders>
          </w:tcPr>
          <w:p>
            <w:pPr>
              <w:spacing w:after="0" w:line="20" w:lineRule="exact"/>
              <w:rPr>
                <w:sz w:val="1"/>
                <w:szCs w:val="1"/>
                <w:color w:val="auto"/>
              </w:rPr>
            </w:pPr>
          </w:p>
        </w:tc>
        <w:tc>
          <w:tcPr>
            <w:tcW w:w="80" w:type="dxa"/>
            <w:vAlign w:val="bottom"/>
            <w:tcBorders>
              <w:bottom w:val="single" w:sz="8" w:color="E99D25"/>
            </w:tcBorders>
          </w:tcPr>
          <w:p>
            <w:pPr>
              <w:spacing w:after="0" w:line="20" w:lineRule="exact"/>
              <w:rPr>
                <w:sz w:val="1"/>
                <w:szCs w:val="1"/>
                <w:color w:val="auto"/>
              </w:rPr>
            </w:pPr>
          </w:p>
        </w:tc>
        <w:tc>
          <w:tcPr>
            <w:tcW w:w="540" w:type="dxa"/>
            <w:vAlign w:val="bottom"/>
            <w:tcBorders>
              <w:bottom w:val="single" w:sz="8" w:color="E99D25"/>
              <w:right w:val="single" w:sz="8" w:color="auto"/>
            </w:tcBorders>
          </w:tcPr>
          <w:p>
            <w:pPr>
              <w:spacing w:after="0" w:line="20" w:lineRule="exact"/>
              <w:rPr>
                <w:sz w:val="1"/>
                <w:szCs w:val="1"/>
                <w:color w:val="auto"/>
              </w:rPr>
            </w:pPr>
          </w:p>
        </w:tc>
        <w:tc>
          <w:tcPr>
            <w:tcW w:w="460" w:type="dxa"/>
            <w:vAlign w:val="bottom"/>
            <w:tcBorders>
              <w:bottom w:val="single" w:sz="8" w:color="E99D25"/>
            </w:tcBorders>
          </w:tcPr>
          <w:p>
            <w:pPr>
              <w:spacing w:after="0" w:line="20" w:lineRule="exact"/>
              <w:rPr>
                <w:sz w:val="1"/>
                <w:szCs w:val="1"/>
                <w:color w:val="auto"/>
              </w:rPr>
            </w:pPr>
          </w:p>
        </w:tc>
        <w:tc>
          <w:tcPr>
            <w:tcW w:w="120" w:type="dxa"/>
            <w:vAlign w:val="bottom"/>
            <w:tcBorders>
              <w:bottom w:val="single" w:sz="8" w:color="E99D25"/>
            </w:tcBorders>
          </w:tcPr>
          <w:p>
            <w:pPr>
              <w:spacing w:after="0" w:line="20" w:lineRule="exact"/>
              <w:rPr>
                <w:sz w:val="1"/>
                <w:szCs w:val="1"/>
                <w:color w:val="auto"/>
              </w:rPr>
            </w:pPr>
          </w:p>
        </w:tc>
        <w:tc>
          <w:tcPr>
            <w:tcW w:w="880" w:type="dxa"/>
            <w:vAlign w:val="bottom"/>
            <w:tcBorders>
              <w:bottom w:val="single" w:sz="8" w:color="E99D25"/>
            </w:tcBorders>
          </w:tcPr>
          <w:p>
            <w:pPr>
              <w:spacing w:after="0" w:line="20" w:lineRule="exact"/>
              <w:rPr>
                <w:sz w:val="1"/>
                <w:szCs w:val="1"/>
                <w:color w:val="auto"/>
              </w:rPr>
            </w:pPr>
          </w:p>
        </w:tc>
        <w:tc>
          <w:tcPr>
            <w:tcW w:w="120" w:type="dxa"/>
            <w:vAlign w:val="bottom"/>
            <w:tcBorders>
              <w:bottom w:val="single" w:sz="8" w:color="E99D25"/>
            </w:tcBorders>
          </w:tcPr>
          <w:p>
            <w:pPr>
              <w:spacing w:after="0" w:line="20" w:lineRule="exact"/>
              <w:rPr>
                <w:sz w:val="1"/>
                <w:szCs w:val="1"/>
                <w:color w:val="auto"/>
              </w:rPr>
            </w:pPr>
          </w:p>
        </w:tc>
        <w:tc>
          <w:tcPr>
            <w:tcW w:w="1080" w:type="dxa"/>
            <w:vAlign w:val="bottom"/>
            <w:tcBorders>
              <w:bottom w:val="single" w:sz="8" w:color="E99D25"/>
            </w:tcBorders>
          </w:tcPr>
          <w:p>
            <w:pPr>
              <w:spacing w:after="0" w:line="20" w:lineRule="exact"/>
              <w:rPr>
                <w:sz w:val="1"/>
                <w:szCs w:val="1"/>
                <w:color w:val="auto"/>
              </w:rPr>
            </w:pPr>
          </w:p>
        </w:tc>
        <w:tc>
          <w:tcPr>
            <w:tcW w:w="660" w:type="dxa"/>
            <w:vAlign w:val="bottom"/>
            <w:tcBorders>
              <w:bottom w:val="single" w:sz="8" w:color="E99D2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2"/>
        </w:trPr>
        <w:tc>
          <w:tcPr>
            <w:tcW w:w="2300" w:type="dxa"/>
            <w:vAlign w:val="bottom"/>
            <w:tcBorders>
              <w:bottom w:val="single" w:sz="8" w:color="FDF5E7"/>
            </w:tcBorders>
            <w:gridSpan w:val="3"/>
            <w:shd w:val="clear" w:color="auto" w:fill="FDF5E7"/>
          </w:tcPr>
          <w:p>
            <w:pPr>
              <w:ind w:left="20"/>
              <w:spacing w:after="0"/>
              <w:rPr>
                <w:sz w:val="20"/>
                <w:szCs w:val="20"/>
                <w:color w:val="auto"/>
              </w:rPr>
            </w:pPr>
            <w:r>
              <w:rPr>
                <w:rFonts w:ascii="Arial" w:cs="Arial" w:eastAsia="Arial" w:hAnsi="Arial"/>
                <w:sz w:val="12"/>
                <w:szCs w:val="12"/>
                <w:color w:val="3C3C3B"/>
              </w:rPr>
              <w:t>Equity investments</w:t>
            </w:r>
          </w:p>
        </w:tc>
        <w:tc>
          <w:tcPr>
            <w:tcW w:w="1120" w:type="dxa"/>
            <w:vAlign w:val="bottom"/>
            <w:tcBorders>
              <w:bottom w:val="single" w:sz="8" w:color="FDF5E7"/>
            </w:tcBorders>
            <w:shd w:val="clear" w:color="auto" w:fill="FDF5E7"/>
          </w:tcPr>
          <w:p>
            <w:pPr>
              <w:jc w:val="right"/>
              <w:ind w:right="18"/>
              <w:spacing w:after="0"/>
              <w:rPr>
                <w:sz w:val="20"/>
                <w:szCs w:val="20"/>
                <w:color w:val="auto"/>
              </w:rPr>
            </w:pPr>
            <w:r>
              <w:rPr>
                <w:rFonts w:ascii="Arial" w:cs="Arial" w:eastAsia="Arial" w:hAnsi="Arial"/>
                <w:sz w:val="12"/>
                <w:szCs w:val="12"/>
                <w:color w:val="auto"/>
              </w:rPr>
              <w:t>1,425</w:t>
            </w:r>
          </w:p>
        </w:tc>
        <w:tc>
          <w:tcPr>
            <w:tcW w:w="100" w:type="dxa"/>
            <w:vAlign w:val="bottom"/>
            <w:tcBorders>
              <w:bottom w:val="single" w:sz="8" w:color="FDF5E7"/>
            </w:tcBorders>
            <w:shd w:val="clear" w:color="auto" w:fill="FDF5E7"/>
          </w:tcPr>
          <w:p>
            <w:pPr>
              <w:spacing w:after="0"/>
              <w:rPr>
                <w:sz w:val="14"/>
                <w:szCs w:val="14"/>
                <w:color w:val="auto"/>
              </w:rPr>
            </w:pPr>
          </w:p>
        </w:tc>
        <w:tc>
          <w:tcPr>
            <w:tcW w:w="1280" w:type="dxa"/>
            <w:vAlign w:val="bottom"/>
            <w:tcBorders>
              <w:bottom w:val="single" w:sz="8" w:color="FDF5E7"/>
            </w:tcBorders>
            <w:shd w:val="clear" w:color="auto" w:fill="FDF5E7"/>
          </w:tcPr>
          <w:p>
            <w:pPr>
              <w:spacing w:after="0"/>
              <w:rPr>
                <w:sz w:val="14"/>
                <w:szCs w:val="14"/>
                <w:color w:val="auto"/>
              </w:rPr>
            </w:pPr>
          </w:p>
        </w:tc>
        <w:tc>
          <w:tcPr>
            <w:tcW w:w="1300" w:type="dxa"/>
            <w:vAlign w:val="bottom"/>
            <w:tcBorders>
              <w:bottom w:val="single" w:sz="8" w:color="FDF5E7"/>
            </w:tcBorders>
            <w:gridSpan w:val="2"/>
            <w:shd w:val="clear" w:color="auto" w:fill="FDF5E7"/>
          </w:tcPr>
          <w:p>
            <w:pPr>
              <w:jc w:val="right"/>
              <w:ind w:right="498"/>
              <w:spacing w:after="0"/>
              <w:rPr>
                <w:sz w:val="20"/>
                <w:szCs w:val="20"/>
                <w:color w:val="auto"/>
              </w:rPr>
            </w:pPr>
            <w:r>
              <w:rPr>
                <w:rFonts w:ascii="Arial" w:cs="Arial" w:eastAsia="Arial" w:hAnsi="Arial"/>
                <w:sz w:val="12"/>
                <w:szCs w:val="12"/>
                <w:color w:val="auto"/>
              </w:rPr>
              <w:t>1,425</w:t>
            </w:r>
          </w:p>
        </w:tc>
        <w:tc>
          <w:tcPr>
            <w:tcW w:w="100" w:type="dxa"/>
            <w:vAlign w:val="bottom"/>
            <w:tcBorders>
              <w:bottom w:val="single" w:sz="8" w:color="FDF5E7"/>
            </w:tcBorders>
            <w:shd w:val="clear" w:color="auto" w:fill="FDF5E7"/>
          </w:tcPr>
          <w:p>
            <w:pPr>
              <w:spacing w:after="0"/>
              <w:rPr>
                <w:sz w:val="14"/>
                <w:szCs w:val="14"/>
                <w:color w:val="auto"/>
              </w:rPr>
            </w:pPr>
          </w:p>
        </w:tc>
        <w:tc>
          <w:tcPr>
            <w:tcW w:w="1020" w:type="dxa"/>
            <w:vAlign w:val="bottom"/>
            <w:tcBorders>
              <w:bottom w:val="single" w:sz="8" w:color="FDF5E7"/>
              <w:right w:val="single" w:sz="8" w:color="FDF5E7"/>
            </w:tcBorders>
            <w:shd w:val="clear" w:color="auto" w:fill="FDF5E7"/>
          </w:tcPr>
          <w:p>
            <w:pPr>
              <w:spacing w:after="0"/>
              <w:rPr>
                <w:sz w:val="14"/>
                <w:szCs w:val="14"/>
                <w:color w:val="auto"/>
              </w:rPr>
            </w:pPr>
          </w:p>
        </w:tc>
        <w:tc>
          <w:tcPr>
            <w:tcW w:w="80" w:type="dxa"/>
            <w:vAlign w:val="bottom"/>
            <w:tcBorders>
              <w:bottom w:val="single" w:sz="8" w:color="FDF5E7"/>
            </w:tcBorders>
            <w:shd w:val="clear" w:color="auto" w:fill="FDF5E7"/>
          </w:tcPr>
          <w:p>
            <w:pPr>
              <w:spacing w:after="0"/>
              <w:rPr>
                <w:sz w:val="14"/>
                <w:szCs w:val="14"/>
                <w:color w:val="auto"/>
              </w:rPr>
            </w:pPr>
          </w:p>
        </w:tc>
        <w:tc>
          <w:tcPr>
            <w:tcW w:w="540" w:type="dxa"/>
            <w:vAlign w:val="bottom"/>
            <w:tcBorders>
              <w:bottom w:val="single" w:sz="8" w:color="FDF5E7"/>
              <w:right w:val="single" w:sz="8" w:color="auto"/>
            </w:tcBorders>
            <w:shd w:val="clear" w:color="auto" w:fill="FDF5E7"/>
          </w:tcPr>
          <w:p>
            <w:pPr>
              <w:spacing w:after="0"/>
              <w:rPr>
                <w:sz w:val="14"/>
                <w:szCs w:val="14"/>
                <w:color w:val="auto"/>
              </w:rPr>
            </w:pPr>
          </w:p>
        </w:tc>
        <w:tc>
          <w:tcPr>
            <w:tcW w:w="460" w:type="dxa"/>
            <w:vAlign w:val="bottom"/>
            <w:tcBorders>
              <w:bottom w:val="single" w:sz="8" w:color="FDF5E7"/>
            </w:tcBorders>
            <w:shd w:val="clear" w:color="auto" w:fill="FDF5E7"/>
          </w:tcPr>
          <w:p>
            <w:pPr>
              <w:spacing w:after="0"/>
              <w:rPr>
                <w:sz w:val="14"/>
                <w:szCs w:val="14"/>
                <w:color w:val="auto"/>
              </w:rPr>
            </w:pPr>
          </w:p>
        </w:tc>
        <w:tc>
          <w:tcPr>
            <w:tcW w:w="120" w:type="dxa"/>
            <w:vAlign w:val="bottom"/>
            <w:tcBorders>
              <w:bottom w:val="single" w:sz="8" w:color="FDF5E7"/>
              <w:right w:val="single" w:sz="8" w:color="FDF5E7"/>
            </w:tcBorders>
            <w:shd w:val="clear" w:color="auto" w:fill="FDF5E7"/>
          </w:tcPr>
          <w:p>
            <w:pPr>
              <w:spacing w:after="0"/>
              <w:rPr>
                <w:sz w:val="14"/>
                <w:szCs w:val="14"/>
                <w:color w:val="auto"/>
              </w:rPr>
            </w:pPr>
          </w:p>
        </w:tc>
        <w:tc>
          <w:tcPr>
            <w:tcW w:w="880" w:type="dxa"/>
            <w:vAlign w:val="bottom"/>
            <w:tcBorders>
              <w:bottom w:val="single" w:sz="8" w:color="FDF5E7"/>
            </w:tcBorders>
            <w:shd w:val="clear" w:color="auto" w:fill="FDF5E7"/>
          </w:tcPr>
          <w:p>
            <w:pPr>
              <w:spacing w:after="0"/>
              <w:rPr>
                <w:sz w:val="14"/>
                <w:szCs w:val="14"/>
                <w:color w:val="auto"/>
              </w:rPr>
            </w:pPr>
          </w:p>
        </w:tc>
        <w:tc>
          <w:tcPr>
            <w:tcW w:w="120" w:type="dxa"/>
            <w:vAlign w:val="bottom"/>
            <w:tcBorders>
              <w:bottom w:val="single" w:sz="8" w:color="FDF5E7"/>
            </w:tcBorders>
            <w:shd w:val="clear" w:color="auto" w:fill="FDF5E7"/>
          </w:tcPr>
          <w:p>
            <w:pPr>
              <w:spacing w:after="0"/>
              <w:rPr>
                <w:sz w:val="14"/>
                <w:szCs w:val="14"/>
                <w:color w:val="auto"/>
              </w:rPr>
            </w:pPr>
          </w:p>
        </w:tc>
        <w:tc>
          <w:tcPr>
            <w:tcW w:w="1080" w:type="dxa"/>
            <w:vAlign w:val="bottom"/>
            <w:tcBorders>
              <w:bottom w:val="single" w:sz="8" w:color="FDF5E7"/>
            </w:tcBorders>
            <w:shd w:val="clear" w:color="auto" w:fill="FDF5E7"/>
          </w:tcPr>
          <w:p>
            <w:pPr>
              <w:spacing w:after="0"/>
              <w:rPr>
                <w:sz w:val="14"/>
                <w:szCs w:val="14"/>
                <w:color w:val="auto"/>
              </w:rPr>
            </w:pPr>
          </w:p>
        </w:tc>
        <w:tc>
          <w:tcPr>
            <w:tcW w:w="66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1,425</w:t>
            </w:r>
          </w:p>
        </w:tc>
        <w:tc>
          <w:tcPr>
            <w:tcW w:w="60" w:type="dxa"/>
            <w:vAlign w:val="bottom"/>
          </w:tcPr>
          <w:p>
            <w:pPr>
              <w:spacing w:after="0"/>
              <w:rPr>
                <w:sz w:val="14"/>
                <w:szCs w:val="14"/>
                <w:color w:val="auto"/>
              </w:rPr>
            </w:pPr>
          </w:p>
        </w:tc>
      </w:tr>
      <w:tr>
        <w:trPr>
          <w:trHeight w:val="173"/>
        </w:trPr>
        <w:tc>
          <w:tcPr>
            <w:tcW w:w="2300" w:type="dxa"/>
            <w:vAlign w:val="bottom"/>
            <w:gridSpan w:val="3"/>
          </w:tcPr>
          <w:p>
            <w:pPr>
              <w:ind w:left="20"/>
              <w:spacing w:after="0"/>
              <w:rPr>
                <w:sz w:val="20"/>
                <w:szCs w:val="20"/>
                <w:color w:val="auto"/>
              </w:rPr>
            </w:pPr>
            <w:r>
              <w:rPr>
                <w:rFonts w:ascii="Arial" w:cs="Arial" w:eastAsia="Arial" w:hAnsi="Arial"/>
                <w:sz w:val="12"/>
                <w:szCs w:val="12"/>
                <w:color w:val="3C3C3B"/>
              </w:rPr>
              <w:t>Other investments</w:t>
            </w:r>
          </w:p>
        </w:tc>
        <w:tc>
          <w:tcPr>
            <w:tcW w:w="1120" w:type="dxa"/>
            <w:vAlign w:val="bottom"/>
          </w:tcPr>
          <w:p>
            <w:pPr>
              <w:jc w:val="right"/>
              <w:ind w:right="18"/>
              <w:spacing w:after="0"/>
              <w:rPr>
                <w:sz w:val="20"/>
                <w:szCs w:val="20"/>
                <w:color w:val="auto"/>
              </w:rPr>
            </w:pPr>
            <w:r>
              <w:rPr>
                <w:rFonts w:ascii="Arial" w:cs="Arial" w:eastAsia="Arial" w:hAnsi="Arial"/>
                <w:sz w:val="12"/>
                <w:szCs w:val="12"/>
                <w:color w:val="auto"/>
              </w:rPr>
              <w:t>459</w:t>
            </w:r>
          </w:p>
        </w:tc>
        <w:tc>
          <w:tcPr>
            <w:tcW w:w="1380" w:type="dxa"/>
            <w:vAlign w:val="bottom"/>
            <w:gridSpan w:val="2"/>
          </w:tcPr>
          <w:p>
            <w:pPr>
              <w:jc w:val="right"/>
              <w:ind w:right="298"/>
              <w:spacing w:after="0"/>
              <w:rPr>
                <w:sz w:val="20"/>
                <w:szCs w:val="20"/>
                <w:color w:val="auto"/>
              </w:rPr>
            </w:pPr>
            <w:r>
              <w:rPr>
                <w:rFonts w:ascii="Arial" w:cs="Arial" w:eastAsia="Arial" w:hAnsi="Arial"/>
                <w:sz w:val="12"/>
                <w:szCs w:val="12"/>
                <w:color w:val="auto"/>
              </w:rPr>
              <w:t>459</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459</w:t>
            </w:r>
          </w:p>
        </w:tc>
        <w:tc>
          <w:tcPr>
            <w:tcW w:w="60" w:type="dxa"/>
            <w:vAlign w:val="bottom"/>
          </w:tcPr>
          <w:p>
            <w:pPr>
              <w:spacing w:after="0"/>
              <w:rPr>
                <w:sz w:val="15"/>
                <w:szCs w:val="15"/>
                <w:color w:val="auto"/>
              </w:rPr>
            </w:pPr>
          </w:p>
        </w:tc>
      </w:tr>
      <w:tr>
        <w:trPr>
          <w:trHeight w:val="26"/>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79"/>
        </w:trPr>
        <w:tc>
          <w:tcPr>
            <w:tcW w:w="2300" w:type="dxa"/>
            <w:vAlign w:val="bottom"/>
            <w:tcBorders>
              <w:bottom w:val="single" w:sz="8" w:color="FDF5E7"/>
            </w:tcBorders>
            <w:gridSpan w:val="3"/>
            <w:shd w:val="clear" w:color="auto" w:fill="FDF5E7"/>
          </w:tcPr>
          <w:p>
            <w:pPr>
              <w:ind w:left="20"/>
              <w:spacing w:after="0"/>
              <w:rPr>
                <w:sz w:val="20"/>
                <w:szCs w:val="20"/>
                <w:color w:val="auto"/>
              </w:rPr>
            </w:pPr>
            <w:r>
              <w:rPr>
                <w:rFonts w:ascii="Arial" w:cs="Arial" w:eastAsia="Arial" w:hAnsi="Arial"/>
                <w:sz w:val="12"/>
                <w:szCs w:val="12"/>
                <w:color w:val="3C3C3B"/>
              </w:rPr>
              <w:t>Loans</w:t>
            </w:r>
          </w:p>
        </w:tc>
        <w:tc>
          <w:tcPr>
            <w:tcW w:w="1120" w:type="dxa"/>
            <w:vAlign w:val="bottom"/>
            <w:tcBorders>
              <w:bottom w:val="single" w:sz="8" w:color="FDF5E7"/>
            </w:tcBorders>
            <w:shd w:val="clear" w:color="auto" w:fill="FDF5E7"/>
          </w:tcPr>
          <w:p>
            <w:pPr>
              <w:jc w:val="right"/>
              <w:ind w:right="18"/>
              <w:spacing w:after="0"/>
              <w:rPr>
                <w:sz w:val="20"/>
                <w:szCs w:val="20"/>
                <w:color w:val="auto"/>
              </w:rPr>
            </w:pPr>
            <w:r>
              <w:rPr>
                <w:rFonts w:ascii="Arial" w:cs="Arial" w:eastAsia="Arial" w:hAnsi="Arial"/>
                <w:sz w:val="12"/>
                <w:szCs w:val="12"/>
                <w:color w:val="auto"/>
              </w:rPr>
              <w:t>524</w:t>
            </w:r>
          </w:p>
        </w:tc>
        <w:tc>
          <w:tcPr>
            <w:tcW w:w="100" w:type="dxa"/>
            <w:vAlign w:val="bottom"/>
            <w:tcBorders>
              <w:bottom w:val="single" w:sz="8" w:color="FDF5E7"/>
            </w:tcBorders>
            <w:shd w:val="clear" w:color="auto" w:fill="FDF5E7"/>
          </w:tcPr>
          <w:p>
            <w:pPr>
              <w:spacing w:after="0"/>
              <w:rPr>
                <w:sz w:val="15"/>
                <w:szCs w:val="15"/>
                <w:color w:val="auto"/>
              </w:rPr>
            </w:pPr>
          </w:p>
        </w:tc>
        <w:tc>
          <w:tcPr>
            <w:tcW w:w="1280" w:type="dxa"/>
            <w:vAlign w:val="bottom"/>
            <w:tcBorders>
              <w:bottom w:val="single" w:sz="8" w:color="FDF5E7"/>
            </w:tcBorders>
            <w:shd w:val="clear" w:color="auto" w:fill="FDF5E7"/>
          </w:tcPr>
          <w:p>
            <w:pPr>
              <w:spacing w:after="0"/>
              <w:rPr>
                <w:sz w:val="15"/>
                <w:szCs w:val="15"/>
                <w:color w:val="auto"/>
              </w:rPr>
            </w:pPr>
          </w:p>
        </w:tc>
        <w:tc>
          <w:tcPr>
            <w:tcW w:w="100" w:type="dxa"/>
            <w:vAlign w:val="bottom"/>
            <w:tcBorders>
              <w:bottom w:val="single" w:sz="8" w:color="FDF5E7"/>
            </w:tcBorders>
            <w:shd w:val="clear" w:color="auto" w:fill="FDF5E7"/>
          </w:tcPr>
          <w:p>
            <w:pPr>
              <w:spacing w:after="0"/>
              <w:rPr>
                <w:sz w:val="15"/>
                <w:szCs w:val="15"/>
                <w:color w:val="auto"/>
              </w:rPr>
            </w:pPr>
          </w:p>
        </w:tc>
        <w:tc>
          <w:tcPr>
            <w:tcW w:w="1200" w:type="dxa"/>
            <w:vAlign w:val="bottom"/>
            <w:tcBorders>
              <w:bottom w:val="single" w:sz="8" w:color="FDF5E7"/>
            </w:tcBorders>
            <w:shd w:val="clear" w:color="auto" w:fill="FDF5E7"/>
          </w:tcPr>
          <w:p>
            <w:pPr>
              <w:spacing w:after="0"/>
              <w:rPr>
                <w:sz w:val="15"/>
                <w:szCs w:val="15"/>
                <w:color w:val="auto"/>
              </w:rPr>
            </w:pPr>
          </w:p>
        </w:tc>
        <w:tc>
          <w:tcPr>
            <w:tcW w:w="1120" w:type="dxa"/>
            <w:vAlign w:val="bottom"/>
            <w:tcBorders>
              <w:bottom w:val="single" w:sz="8" w:color="FDF5E7"/>
              <w:right w:val="single" w:sz="8" w:color="FDF5E7"/>
            </w:tcBorders>
            <w:gridSpan w:val="2"/>
            <w:shd w:val="clear" w:color="auto" w:fill="FDF5E7"/>
          </w:tcPr>
          <w:p>
            <w:pPr>
              <w:jc w:val="right"/>
              <w:ind w:right="518"/>
              <w:spacing w:after="0"/>
              <w:rPr>
                <w:sz w:val="20"/>
                <w:szCs w:val="20"/>
                <w:color w:val="auto"/>
              </w:rPr>
            </w:pPr>
            <w:r>
              <w:rPr>
                <w:rFonts w:ascii="Arial" w:cs="Arial" w:eastAsia="Arial" w:hAnsi="Arial"/>
                <w:sz w:val="12"/>
                <w:szCs w:val="12"/>
                <w:color w:val="auto"/>
              </w:rPr>
              <w:t>524</w:t>
            </w:r>
          </w:p>
        </w:tc>
        <w:tc>
          <w:tcPr>
            <w:tcW w:w="80" w:type="dxa"/>
            <w:vAlign w:val="bottom"/>
            <w:tcBorders>
              <w:bottom w:val="single" w:sz="8" w:color="FDF5E7"/>
            </w:tcBorders>
            <w:shd w:val="clear" w:color="auto" w:fill="FDF5E7"/>
          </w:tcPr>
          <w:p>
            <w:pPr>
              <w:spacing w:after="0"/>
              <w:rPr>
                <w:sz w:val="15"/>
                <w:szCs w:val="15"/>
                <w:color w:val="auto"/>
              </w:rPr>
            </w:pPr>
          </w:p>
        </w:tc>
        <w:tc>
          <w:tcPr>
            <w:tcW w:w="540" w:type="dxa"/>
            <w:vAlign w:val="bottom"/>
            <w:tcBorders>
              <w:bottom w:val="single" w:sz="8" w:color="FDF5E7"/>
              <w:right w:val="single" w:sz="8" w:color="auto"/>
            </w:tcBorders>
            <w:shd w:val="clear" w:color="auto" w:fill="FDF5E7"/>
          </w:tcPr>
          <w:p>
            <w:pPr>
              <w:spacing w:after="0"/>
              <w:rPr>
                <w:sz w:val="15"/>
                <w:szCs w:val="15"/>
                <w:color w:val="auto"/>
              </w:rPr>
            </w:pPr>
          </w:p>
        </w:tc>
        <w:tc>
          <w:tcPr>
            <w:tcW w:w="460" w:type="dxa"/>
            <w:vAlign w:val="bottom"/>
            <w:tcBorders>
              <w:bottom w:val="single" w:sz="8" w:color="FDF5E7"/>
            </w:tcBorders>
            <w:shd w:val="clear" w:color="auto" w:fill="FDF5E7"/>
          </w:tcPr>
          <w:p>
            <w:pPr>
              <w:spacing w:after="0"/>
              <w:rPr>
                <w:sz w:val="15"/>
                <w:szCs w:val="15"/>
                <w:color w:val="auto"/>
              </w:rPr>
            </w:pPr>
          </w:p>
        </w:tc>
        <w:tc>
          <w:tcPr>
            <w:tcW w:w="120" w:type="dxa"/>
            <w:vAlign w:val="bottom"/>
            <w:tcBorders>
              <w:bottom w:val="single" w:sz="8" w:color="FDF5E7"/>
              <w:right w:val="single" w:sz="8" w:color="FDF5E7"/>
            </w:tcBorders>
            <w:shd w:val="clear" w:color="auto" w:fill="FDF5E7"/>
          </w:tcPr>
          <w:p>
            <w:pPr>
              <w:spacing w:after="0"/>
              <w:rPr>
                <w:sz w:val="15"/>
                <w:szCs w:val="15"/>
                <w:color w:val="auto"/>
              </w:rPr>
            </w:pPr>
          </w:p>
        </w:tc>
        <w:tc>
          <w:tcPr>
            <w:tcW w:w="880" w:type="dxa"/>
            <w:vAlign w:val="bottom"/>
            <w:tcBorders>
              <w:bottom w:val="single" w:sz="8" w:color="FDF5E7"/>
            </w:tcBorders>
            <w:shd w:val="clear" w:color="auto" w:fill="FDF5E7"/>
          </w:tcPr>
          <w:p>
            <w:pPr>
              <w:spacing w:after="0"/>
              <w:rPr>
                <w:sz w:val="15"/>
                <w:szCs w:val="15"/>
                <w:color w:val="auto"/>
              </w:rPr>
            </w:pPr>
          </w:p>
        </w:tc>
        <w:tc>
          <w:tcPr>
            <w:tcW w:w="1200" w:type="dxa"/>
            <w:vAlign w:val="bottom"/>
            <w:tcBorders>
              <w:bottom w:val="single" w:sz="8" w:color="FDF5E7"/>
            </w:tcBorders>
            <w:gridSpan w:val="2"/>
            <w:shd w:val="clear" w:color="auto" w:fill="FDF5E7"/>
          </w:tcPr>
          <w:p>
            <w:pPr>
              <w:jc w:val="right"/>
              <w:ind w:right="458"/>
              <w:spacing w:after="0"/>
              <w:rPr>
                <w:sz w:val="20"/>
                <w:szCs w:val="20"/>
                <w:color w:val="auto"/>
              </w:rPr>
            </w:pPr>
            <w:r>
              <w:rPr>
                <w:rFonts w:ascii="Arial" w:cs="Arial" w:eastAsia="Arial" w:hAnsi="Arial"/>
                <w:sz w:val="12"/>
                <w:szCs w:val="12"/>
                <w:color w:val="auto"/>
              </w:rPr>
              <w:t>524</w:t>
            </w:r>
          </w:p>
        </w:tc>
        <w:tc>
          <w:tcPr>
            <w:tcW w:w="660" w:type="dxa"/>
            <w:vAlign w:val="bottom"/>
            <w:tcBorders>
              <w:bottom w:val="single" w:sz="8" w:color="FDF5E7"/>
            </w:tcBorders>
            <w:shd w:val="clear" w:color="auto" w:fill="FDF5E7"/>
          </w:tcPr>
          <w:p>
            <w:pPr>
              <w:spacing w:after="0"/>
              <w:rPr>
                <w:sz w:val="15"/>
                <w:szCs w:val="15"/>
                <w:color w:val="auto"/>
              </w:rPr>
            </w:pPr>
          </w:p>
        </w:tc>
        <w:tc>
          <w:tcPr>
            <w:tcW w:w="60" w:type="dxa"/>
            <w:vAlign w:val="bottom"/>
          </w:tcPr>
          <w:p>
            <w:pPr>
              <w:spacing w:after="0"/>
              <w:rPr>
                <w:sz w:val="15"/>
                <w:szCs w:val="15"/>
                <w:color w:val="auto"/>
              </w:rPr>
            </w:pPr>
          </w:p>
        </w:tc>
      </w:tr>
      <w:tr>
        <w:trPr>
          <w:trHeight w:val="173"/>
        </w:trPr>
        <w:tc>
          <w:tcPr>
            <w:tcW w:w="2300" w:type="dxa"/>
            <w:vAlign w:val="bottom"/>
            <w:gridSpan w:val="3"/>
          </w:tcPr>
          <w:p>
            <w:pPr>
              <w:ind w:left="20"/>
              <w:spacing w:after="0"/>
              <w:rPr>
                <w:sz w:val="20"/>
                <w:szCs w:val="20"/>
                <w:color w:val="auto"/>
              </w:rPr>
            </w:pPr>
            <w:r>
              <w:rPr>
                <w:rFonts w:ascii="Arial" w:cs="Arial" w:eastAsia="Arial" w:hAnsi="Arial"/>
                <w:sz w:val="12"/>
                <w:szCs w:val="12"/>
                <w:color w:val="3C3C3B"/>
              </w:rPr>
              <w:t>Deposits and guarantees</w:t>
            </w:r>
          </w:p>
        </w:tc>
        <w:tc>
          <w:tcPr>
            <w:tcW w:w="1120" w:type="dxa"/>
            <w:vAlign w:val="bottom"/>
          </w:tcPr>
          <w:p>
            <w:pPr>
              <w:jc w:val="right"/>
              <w:ind w:right="18"/>
              <w:spacing w:after="0"/>
              <w:rPr>
                <w:sz w:val="20"/>
                <w:szCs w:val="20"/>
                <w:color w:val="auto"/>
              </w:rPr>
            </w:pPr>
            <w:r>
              <w:rPr>
                <w:rFonts w:ascii="Arial" w:cs="Arial" w:eastAsia="Arial" w:hAnsi="Arial"/>
                <w:sz w:val="12"/>
                <w:szCs w:val="12"/>
                <w:color w:val="auto"/>
              </w:rPr>
              <w:t>303</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20" w:type="dxa"/>
            <w:vAlign w:val="bottom"/>
            <w:gridSpan w:val="2"/>
          </w:tcPr>
          <w:p>
            <w:pPr>
              <w:jc w:val="right"/>
              <w:ind w:right="518"/>
              <w:spacing w:after="0"/>
              <w:rPr>
                <w:sz w:val="20"/>
                <w:szCs w:val="20"/>
                <w:color w:val="auto"/>
              </w:rPr>
            </w:pPr>
            <w:r>
              <w:rPr>
                <w:rFonts w:ascii="Arial" w:cs="Arial" w:eastAsia="Arial" w:hAnsi="Arial"/>
                <w:sz w:val="12"/>
                <w:szCs w:val="12"/>
                <w:color w:val="auto"/>
              </w:rPr>
              <w:t>303</w:t>
            </w:r>
          </w:p>
        </w:tc>
        <w:tc>
          <w:tcPr>
            <w:tcW w:w="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gridSpan w:val="2"/>
          </w:tcPr>
          <w:p>
            <w:pPr>
              <w:jc w:val="right"/>
              <w:ind w:right="458"/>
              <w:spacing w:after="0"/>
              <w:rPr>
                <w:sz w:val="20"/>
                <w:szCs w:val="20"/>
                <w:color w:val="auto"/>
              </w:rPr>
            </w:pPr>
            <w:r>
              <w:rPr>
                <w:rFonts w:ascii="Arial" w:cs="Arial" w:eastAsia="Arial" w:hAnsi="Arial"/>
                <w:sz w:val="12"/>
                <w:szCs w:val="12"/>
                <w:color w:val="auto"/>
              </w:rPr>
              <w:t>303</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6"/>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79"/>
        </w:trPr>
        <w:tc>
          <w:tcPr>
            <w:tcW w:w="2300" w:type="dxa"/>
            <w:vAlign w:val="bottom"/>
            <w:tcBorders>
              <w:bottom w:val="single" w:sz="8" w:color="FDF5E7"/>
            </w:tcBorders>
            <w:gridSpan w:val="3"/>
            <w:shd w:val="clear" w:color="auto" w:fill="FDF5E7"/>
          </w:tcPr>
          <w:p>
            <w:pPr>
              <w:ind w:left="20"/>
              <w:spacing w:after="0"/>
              <w:rPr>
                <w:sz w:val="20"/>
                <w:szCs w:val="20"/>
                <w:color w:val="auto"/>
              </w:rPr>
            </w:pPr>
            <w:r>
              <w:rPr>
                <w:rFonts w:ascii="Arial" w:cs="Arial" w:eastAsia="Arial" w:hAnsi="Arial"/>
                <w:sz w:val="12"/>
                <w:szCs w:val="12"/>
                <w:color w:val="3C3C3B"/>
              </w:rPr>
              <w:t>Liquidity contracts</w:t>
            </w:r>
          </w:p>
        </w:tc>
        <w:tc>
          <w:tcPr>
            <w:tcW w:w="1120" w:type="dxa"/>
            <w:vAlign w:val="bottom"/>
            <w:tcBorders>
              <w:bottom w:val="single" w:sz="8" w:color="FDF5E7"/>
            </w:tcBorders>
            <w:shd w:val="clear" w:color="auto" w:fill="FDF5E7"/>
          </w:tcPr>
          <w:p>
            <w:pPr>
              <w:jc w:val="right"/>
              <w:ind w:right="18"/>
              <w:spacing w:after="0"/>
              <w:rPr>
                <w:sz w:val="20"/>
                <w:szCs w:val="20"/>
                <w:color w:val="auto"/>
              </w:rPr>
            </w:pPr>
            <w:r>
              <w:rPr>
                <w:rFonts w:ascii="Arial" w:cs="Arial" w:eastAsia="Arial" w:hAnsi="Arial"/>
                <w:sz w:val="12"/>
                <w:szCs w:val="12"/>
                <w:color w:val="auto"/>
              </w:rPr>
              <w:t>354</w:t>
            </w:r>
          </w:p>
        </w:tc>
        <w:tc>
          <w:tcPr>
            <w:tcW w:w="1380" w:type="dxa"/>
            <w:vAlign w:val="bottom"/>
            <w:tcBorders>
              <w:bottom w:val="single" w:sz="8" w:color="FDF5E7"/>
            </w:tcBorders>
            <w:gridSpan w:val="2"/>
            <w:shd w:val="clear" w:color="auto" w:fill="FDF5E7"/>
          </w:tcPr>
          <w:p>
            <w:pPr>
              <w:jc w:val="right"/>
              <w:ind w:right="298"/>
              <w:spacing w:after="0"/>
              <w:rPr>
                <w:sz w:val="20"/>
                <w:szCs w:val="20"/>
                <w:color w:val="auto"/>
              </w:rPr>
            </w:pPr>
            <w:r>
              <w:rPr>
                <w:rFonts w:ascii="Arial" w:cs="Arial" w:eastAsia="Arial" w:hAnsi="Arial"/>
                <w:sz w:val="12"/>
                <w:szCs w:val="12"/>
                <w:color w:val="auto"/>
              </w:rPr>
              <w:t>354</w:t>
            </w:r>
          </w:p>
        </w:tc>
        <w:tc>
          <w:tcPr>
            <w:tcW w:w="100" w:type="dxa"/>
            <w:vAlign w:val="bottom"/>
            <w:tcBorders>
              <w:bottom w:val="single" w:sz="8" w:color="FDF5E7"/>
            </w:tcBorders>
            <w:shd w:val="clear" w:color="auto" w:fill="FDF5E7"/>
          </w:tcPr>
          <w:p>
            <w:pPr>
              <w:spacing w:after="0"/>
              <w:rPr>
                <w:sz w:val="15"/>
                <w:szCs w:val="15"/>
                <w:color w:val="auto"/>
              </w:rPr>
            </w:pPr>
          </w:p>
        </w:tc>
        <w:tc>
          <w:tcPr>
            <w:tcW w:w="1200" w:type="dxa"/>
            <w:vAlign w:val="bottom"/>
            <w:tcBorders>
              <w:bottom w:val="single" w:sz="8" w:color="FDF5E7"/>
            </w:tcBorders>
            <w:shd w:val="clear" w:color="auto" w:fill="FDF5E7"/>
          </w:tcPr>
          <w:p>
            <w:pPr>
              <w:spacing w:after="0"/>
              <w:rPr>
                <w:sz w:val="15"/>
                <w:szCs w:val="15"/>
                <w:color w:val="auto"/>
              </w:rPr>
            </w:pPr>
          </w:p>
        </w:tc>
        <w:tc>
          <w:tcPr>
            <w:tcW w:w="100" w:type="dxa"/>
            <w:vAlign w:val="bottom"/>
            <w:tcBorders>
              <w:bottom w:val="single" w:sz="8" w:color="FDF5E7"/>
            </w:tcBorders>
            <w:shd w:val="clear" w:color="auto" w:fill="FDF5E7"/>
          </w:tcPr>
          <w:p>
            <w:pPr>
              <w:spacing w:after="0"/>
              <w:rPr>
                <w:sz w:val="15"/>
                <w:szCs w:val="15"/>
                <w:color w:val="auto"/>
              </w:rPr>
            </w:pPr>
          </w:p>
        </w:tc>
        <w:tc>
          <w:tcPr>
            <w:tcW w:w="1020" w:type="dxa"/>
            <w:vAlign w:val="bottom"/>
            <w:tcBorders>
              <w:bottom w:val="single" w:sz="8" w:color="FDF5E7"/>
              <w:right w:val="single" w:sz="8" w:color="FDF5E7"/>
            </w:tcBorders>
            <w:shd w:val="clear" w:color="auto" w:fill="FDF5E7"/>
          </w:tcPr>
          <w:p>
            <w:pPr>
              <w:spacing w:after="0"/>
              <w:rPr>
                <w:sz w:val="15"/>
                <w:szCs w:val="15"/>
                <w:color w:val="auto"/>
              </w:rPr>
            </w:pPr>
          </w:p>
        </w:tc>
        <w:tc>
          <w:tcPr>
            <w:tcW w:w="80" w:type="dxa"/>
            <w:vAlign w:val="bottom"/>
            <w:tcBorders>
              <w:bottom w:val="single" w:sz="8" w:color="FDF5E7"/>
            </w:tcBorders>
            <w:shd w:val="clear" w:color="auto" w:fill="FDF5E7"/>
          </w:tcPr>
          <w:p>
            <w:pPr>
              <w:spacing w:after="0"/>
              <w:rPr>
                <w:sz w:val="15"/>
                <w:szCs w:val="15"/>
                <w:color w:val="auto"/>
              </w:rPr>
            </w:pPr>
          </w:p>
        </w:tc>
        <w:tc>
          <w:tcPr>
            <w:tcW w:w="540" w:type="dxa"/>
            <w:vAlign w:val="bottom"/>
            <w:tcBorders>
              <w:bottom w:val="single" w:sz="8" w:color="FDF5E7"/>
              <w:right w:val="single" w:sz="8" w:color="auto"/>
            </w:tcBorders>
            <w:shd w:val="clear" w:color="auto" w:fill="FDF5E7"/>
          </w:tcPr>
          <w:p>
            <w:pPr>
              <w:spacing w:after="0"/>
              <w:rPr>
                <w:sz w:val="15"/>
                <w:szCs w:val="15"/>
                <w:color w:val="auto"/>
              </w:rPr>
            </w:pPr>
          </w:p>
        </w:tc>
        <w:tc>
          <w:tcPr>
            <w:tcW w:w="460" w:type="dxa"/>
            <w:vAlign w:val="bottom"/>
            <w:tcBorders>
              <w:bottom w:val="single" w:sz="8" w:color="FDF5E7"/>
            </w:tcBorders>
            <w:shd w:val="clear" w:color="auto" w:fill="FDF5E7"/>
          </w:tcPr>
          <w:p>
            <w:pPr>
              <w:spacing w:after="0"/>
              <w:rPr>
                <w:sz w:val="15"/>
                <w:szCs w:val="15"/>
                <w:color w:val="auto"/>
              </w:rPr>
            </w:pPr>
          </w:p>
        </w:tc>
        <w:tc>
          <w:tcPr>
            <w:tcW w:w="1000" w:type="dxa"/>
            <w:vAlign w:val="bottom"/>
            <w:tcBorders>
              <w:bottom w:val="single" w:sz="8" w:color="FDF5E7"/>
            </w:tcBorders>
            <w:gridSpan w:val="2"/>
            <w:shd w:val="clear" w:color="auto" w:fill="FDF5E7"/>
          </w:tcPr>
          <w:p>
            <w:pPr>
              <w:jc w:val="right"/>
              <w:ind w:right="358"/>
              <w:spacing w:after="0"/>
              <w:rPr>
                <w:sz w:val="20"/>
                <w:szCs w:val="20"/>
                <w:color w:val="auto"/>
              </w:rPr>
            </w:pPr>
            <w:r>
              <w:rPr>
                <w:rFonts w:ascii="Arial" w:cs="Arial" w:eastAsia="Arial" w:hAnsi="Arial"/>
                <w:sz w:val="12"/>
                <w:szCs w:val="12"/>
                <w:color w:val="auto"/>
              </w:rPr>
              <w:t>354</w:t>
            </w:r>
          </w:p>
        </w:tc>
        <w:tc>
          <w:tcPr>
            <w:tcW w:w="120" w:type="dxa"/>
            <w:vAlign w:val="bottom"/>
            <w:tcBorders>
              <w:bottom w:val="single" w:sz="8" w:color="FDF5E7"/>
            </w:tcBorders>
            <w:shd w:val="clear" w:color="auto" w:fill="FDF5E7"/>
          </w:tcPr>
          <w:p>
            <w:pPr>
              <w:spacing w:after="0"/>
              <w:rPr>
                <w:sz w:val="15"/>
                <w:szCs w:val="15"/>
                <w:color w:val="auto"/>
              </w:rPr>
            </w:pPr>
          </w:p>
        </w:tc>
        <w:tc>
          <w:tcPr>
            <w:tcW w:w="1080" w:type="dxa"/>
            <w:vAlign w:val="bottom"/>
            <w:tcBorders>
              <w:bottom w:val="single" w:sz="8" w:color="FDF5E7"/>
            </w:tcBorders>
            <w:shd w:val="clear" w:color="auto" w:fill="FDF5E7"/>
          </w:tcPr>
          <w:p>
            <w:pPr>
              <w:spacing w:after="0"/>
              <w:rPr>
                <w:sz w:val="15"/>
                <w:szCs w:val="15"/>
                <w:color w:val="auto"/>
              </w:rPr>
            </w:pPr>
          </w:p>
        </w:tc>
        <w:tc>
          <w:tcPr>
            <w:tcW w:w="660" w:type="dxa"/>
            <w:vAlign w:val="bottom"/>
            <w:tcBorders>
              <w:bottom w:val="single" w:sz="8" w:color="FDF5E7"/>
            </w:tcBorders>
            <w:shd w:val="clear" w:color="auto" w:fill="FDF5E7"/>
          </w:tcPr>
          <w:p>
            <w:pPr>
              <w:spacing w:after="0"/>
              <w:rPr>
                <w:sz w:val="15"/>
                <w:szCs w:val="15"/>
                <w:color w:val="auto"/>
              </w:rPr>
            </w:pPr>
          </w:p>
        </w:tc>
        <w:tc>
          <w:tcPr>
            <w:tcW w:w="60" w:type="dxa"/>
            <w:vAlign w:val="bottom"/>
          </w:tcPr>
          <w:p>
            <w:pPr>
              <w:spacing w:after="0"/>
              <w:rPr>
                <w:sz w:val="15"/>
                <w:szCs w:val="15"/>
                <w:color w:val="auto"/>
              </w:rPr>
            </w:pPr>
          </w:p>
        </w:tc>
      </w:tr>
      <w:tr>
        <w:trPr>
          <w:trHeight w:val="173"/>
        </w:trPr>
        <w:tc>
          <w:tcPr>
            <w:tcW w:w="2300" w:type="dxa"/>
            <w:vAlign w:val="bottom"/>
            <w:gridSpan w:val="3"/>
          </w:tcPr>
          <w:p>
            <w:pPr>
              <w:ind w:left="20"/>
              <w:spacing w:after="0"/>
              <w:rPr>
                <w:sz w:val="20"/>
                <w:szCs w:val="20"/>
                <w:color w:val="auto"/>
              </w:rPr>
            </w:pPr>
            <w:r>
              <w:rPr>
                <w:rFonts w:ascii="Arial" w:cs="Arial" w:eastAsia="Arial" w:hAnsi="Arial"/>
                <w:sz w:val="12"/>
                <w:szCs w:val="12"/>
                <w:color w:val="3C3C3B"/>
              </w:rPr>
              <w:t>Trade receivables</w:t>
            </w:r>
          </w:p>
        </w:tc>
        <w:tc>
          <w:tcPr>
            <w:tcW w:w="1120" w:type="dxa"/>
            <w:vAlign w:val="bottom"/>
          </w:tcPr>
          <w:p>
            <w:pPr>
              <w:jc w:val="right"/>
              <w:ind w:right="18"/>
              <w:spacing w:after="0"/>
              <w:rPr>
                <w:sz w:val="20"/>
                <w:szCs w:val="20"/>
                <w:color w:val="auto"/>
              </w:rPr>
            </w:pPr>
            <w:r>
              <w:rPr>
                <w:rFonts w:ascii="Arial" w:cs="Arial" w:eastAsia="Arial" w:hAnsi="Arial"/>
                <w:sz w:val="12"/>
                <w:szCs w:val="12"/>
                <w:color w:val="auto"/>
              </w:rPr>
              <w:t>2,140</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20" w:type="dxa"/>
            <w:vAlign w:val="bottom"/>
            <w:gridSpan w:val="2"/>
          </w:tcPr>
          <w:p>
            <w:pPr>
              <w:jc w:val="right"/>
              <w:ind w:right="518"/>
              <w:spacing w:after="0"/>
              <w:rPr>
                <w:sz w:val="20"/>
                <w:szCs w:val="20"/>
                <w:color w:val="auto"/>
              </w:rPr>
            </w:pPr>
            <w:r>
              <w:rPr>
                <w:rFonts w:ascii="Arial" w:cs="Arial" w:eastAsia="Arial" w:hAnsi="Arial"/>
                <w:sz w:val="12"/>
                <w:szCs w:val="12"/>
                <w:color w:val="auto"/>
              </w:rPr>
              <w:t>2,140</w:t>
            </w:r>
          </w:p>
        </w:tc>
        <w:tc>
          <w:tcPr>
            <w:tcW w:w="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gridSpan w:val="2"/>
          </w:tcPr>
          <w:p>
            <w:pPr>
              <w:jc w:val="right"/>
              <w:ind w:right="458"/>
              <w:spacing w:after="0"/>
              <w:rPr>
                <w:sz w:val="20"/>
                <w:szCs w:val="20"/>
                <w:color w:val="auto"/>
              </w:rPr>
            </w:pPr>
            <w:r>
              <w:rPr>
                <w:rFonts w:ascii="Arial" w:cs="Arial" w:eastAsia="Arial" w:hAnsi="Arial"/>
                <w:sz w:val="12"/>
                <w:szCs w:val="12"/>
                <w:color w:val="auto"/>
              </w:rPr>
              <w:t>2,140</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6"/>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2300" w:type="dxa"/>
            <w:vAlign w:val="bottom"/>
            <w:tcBorders>
              <w:bottom w:val="single" w:sz="8" w:color="FDF5E7"/>
            </w:tcBorders>
            <w:gridSpan w:val="3"/>
            <w:shd w:val="clear" w:color="auto" w:fill="FDF5E7"/>
          </w:tcPr>
          <w:p>
            <w:pPr>
              <w:ind w:left="20"/>
              <w:spacing w:after="0"/>
              <w:rPr>
                <w:sz w:val="20"/>
                <w:szCs w:val="20"/>
                <w:color w:val="auto"/>
              </w:rPr>
            </w:pPr>
            <w:r>
              <w:rPr>
                <w:rFonts w:ascii="Arial" w:cs="Arial" w:eastAsia="Arial" w:hAnsi="Arial"/>
                <w:sz w:val="12"/>
                <w:szCs w:val="12"/>
                <w:color w:val="3C3C3B"/>
              </w:rPr>
              <w:t>Cash and cash equivalents</w:t>
            </w:r>
          </w:p>
        </w:tc>
        <w:tc>
          <w:tcPr>
            <w:tcW w:w="1120" w:type="dxa"/>
            <w:vAlign w:val="bottom"/>
            <w:tcBorders>
              <w:bottom w:val="single" w:sz="8" w:color="FDF5E7"/>
            </w:tcBorders>
            <w:shd w:val="clear" w:color="auto" w:fill="FDF5E7"/>
          </w:tcPr>
          <w:p>
            <w:pPr>
              <w:jc w:val="right"/>
              <w:ind w:right="18"/>
              <w:spacing w:after="0"/>
              <w:rPr>
                <w:sz w:val="20"/>
                <w:szCs w:val="20"/>
                <w:color w:val="auto"/>
              </w:rPr>
            </w:pPr>
            <w:r>
              <w:rPr>
                <w:rFonts w:ascii="Arial" w:cs="Arial" w:eastAsia="Arial" w:hAnsi="Arial"/>
                <w:sz w:val="12"/>
                <w:szCs w:val="12"/>
                <w:color w:val="auto"/>
              </w:rPr>
              <w:t>81,788</w:t>
            </w:r>
          </w:p>
        </w:tc>
        <w:tc>
          <w:tcPr>
            <w:tcW w:w="1380" w:type="dxa"/>
            <w:vAlign w:val="bottom"/>
            <w:tcBorders>
              <w:bottom w:val="single" w:sz="8" w:color="FDF5E7"/>
            </w:tcBorders>
            <w:gridSpan w:val="2"/>
            <w:shd w:val="clear" w:color="auto" w:fill="FDF5E7"/>
          </w:tcPr>
          <w:p>
            <w:pPr>
              <w:jc w:val="right"/>
              <w:ind w:right="298"/>
              <w:spacing w:after="0"/>
              <w:rPr>
                <w:sz w:val="20"/>
                <w:szCs w:val="20"/>
                <w:color w:val="auto"/>
              </w:rPr>
            </w:pPr>
            <w:r>
              <w:rPr>
                <w:rFonts w:ascii="Arial" w:cs="Arial" w:eastAsia="Arial" w:hAnsi="Arial"/>
                <w:sz w:val="12"/>
                <w:szCs w:val="12"/>
                <w:color w:val="auto"/>
              </w:rPr>
              <w:t>81,788</w:t>
            </w:r>
          </w:p>
        </w:tc>
        <w:tc>
          <w:tcPr>
            <w:tcW w:w="100" w:type="dxa"/>
            <w:vAlign w:val="bottom"/>
            <w:tcBorders>
              <w:bottom w:val="single" w:sz="8" w:color="FDF5E7"/>
            </w:tcBorders>
            <w:shd w:val="clear" w:color="auto" w:fill="FDF5E7"/>
          </w:tcPr>
          <w:p>
            <w:pPr>
              <w:spacing w:after="0"/>
              <w:rPr>
                <w:sz w:val="17"/>
                <w:szCs w:val="17"/>
                <w:color w:val="auto"/>
              </w:rPr>
            </w:pPr>
          </w:p>
        </w:tc>
        <w:tc>
          <w:tcPr>
            <w:tcW w:w="1200" w:type="dxa"/>
            <w:vAlign w:val="bottom"/>
            <w:tcBorders>
              <w:bottom w:val="single" w:sz="8" w:color="FDF5E7"/>
            </w:tcBorders>
            <w:shd w:val="clear" w:color="auto" w:fill="FDF5E7"/>
          </w:tcPr>
          <w:p>
            <w:pPr>
              <w:spacing w:after="0"/>
              <w:rPr>
                <w:sz w:val="17"/>
                <w:szCs w:val="17"/>
                <w:color w:val="auto"/>
              </w:rPr>
            </w:pPr>
          </w:p>
        </w:tc>
        <w:tc>
          <w:tcPr>
            <w:tcW w:w="100" w:type="dxa"/>
            <w:vAlign w:val="bottom"/>
            <w:tcBorders>
              <w:bottom w:val="single" w:sz="8" w:color="FDF5E7"/>
            </w:tcBorders>
            <w:shd w:val="clear" w:color="auto" w:fill="FDF5E7"/>
          </w:tcPr>
          <w:p>
            <w:pPr>
              <w:spacing w:after="0"/>
              <w:rPr>
                <w:sz w:val="17"/>
                <w:szCs w:val="17"/>
                <w:color w:val="auto"/>
              </w:rPr>
            </w:pPr>
          </w:p>
        </w:tc>
        <w:tc>
          <w:tcPr>
            <w:tcW w:w="1020" w:type="dxa"/>
            <w:vAlign w:val="bottom"/>
            <w:tcBorders>
              <w:bottom w:val="single" w:sz="8" w:color="FDF5E7"/>
              <w:right w:val="single" w:sz="8" w:color="FDF5E7"/>
            </w:tcBorders>
            <w:shd w:val="clear" w:color="auto" w:fill="FDF5E7"/>
          </w:tcPr>
          <w:p>
            <w:pPr>
              <w:spacing w:after="0"/>
              <w:rPr>
                <w:sz w:val="17"/>
                <w:szCs w:val="17"/>
                <w:color w:val="auto"/>
              </w:rPr>
            </w:pPr>
          </w:p>
        </w:tc>
        <w:tc>
          <w:tcPr>
            <w:tcW w:w="80" w:type="dxa"/>
            <w:vAlign w:val="bottom"/>
            <w:tcBorders>
              <w:bottom w:val="single" w:sz="8" w:color="FDF5E7"/>
            </w:tcBorders>
            <w:shd w:val="clear" w:color="auto" w:fill="FDF5E7"/>
          </w:tcPr>
          <w:p>
            <w:pPr>
              <w:spacing w:after="0"/>
              <w:rPr>
                <w:sz w:val="17"/>
                <w:szCs w:val="17"/>
                <w:color w:val="auto"/>
              </w:rPr>
            </w:pPr>
          </w:p>
        </w:tc>
        <w:tc>
          <w:tcPr>
            <w:tcW w:w="540" w:type="dxa"/>
            <w:vAlign w:val="bottom"/>
            <w:tcBorders>
              <w:bottom w:val="single" w:sz="8" w:color="FDF5E7"/>
              <w:right w:val="single" w:sz="8" w:color="auto"/>
            </w:tcBorders>
            <w:shd w:val="clear" w:color="auto" w:fill="FDF5E7"/>
          </w:tcPr>
          <w:p>
            <w:pPr>
              <w:spacing w:after="0"/>
              <w:rPr>
                <w:sz w:val="17"/>
                <w:szCs w:val="17"/>
                <w:color w:val="auto"/>
              </w:rPr>
            </w:pPr>
          </w:p>
        </w:tc>
        <w:tc>
          <w:tcPr>
            <w:tcW w:w="460" w:type="dxa"/>
            <w:vAlign w:val="bottom"/>
            <w:tcBorders>
              <w:bottom w:val="single" w:sz="8" w:color="FDF5E7"/>
            </w:tcBorders>
            <w:shd w:val="clear" w:color="auto" w:fill="FDF5E7"/>
          </w:tcPr>
          <w:p>
            <w:pPr>
              <w:spacing w:after="0"/>
              <w:rPr>
                <w:sz w:val="17"/>
                <w:szCs w:val="17"/>
                <w:color w:val="auto"/>
              </w:rPr>
            </w:pPr>
          </w:p>
        </w:tc>
        <w:tc>
          <w:tcPr>
            <w:tcW w:w="1000" w:type="dxa"/>
            <w:vAlign w:val="bottom"/>
            <w:tcBorders>
              <w:bottom w:val="single" w:sz="8" w:color="FDF5E7"/>
            </w:tcBorders>
            <w:gridSpan w:val="2"/>
            <w:shd w:val="clear" w:color="auto" w:fill="FDF5E7"/>
          </w:tcPr>
          <w:p>
            <w:pPr>
              <w:jc w:val="right"/>
              <w:ind w:right="358"/>
              <w:spacing w:after="0"/>
              <w:rPr>
                <w:sz w:val="20"/>
                <w:szCs w:val="20"/>
                <w:color w:val="auto"/>
              </w:rPr>
            </w:pPr>
            <w:r>
              <w:rPr>
                <w:rFonts w:ascii="Arial" w:cs="Arial" w:eastAsia="Arial" w:hAnsi="Arial"/>
                <w:sz w:val="12"/>
                <w:szCs w:val="12"/>
                <w:color w:val="auto"/>
              </w:rPr>
              <w:t>81,788</w:t>
            </w:r>
          </w:p>
        </w:tc>
        <w:tc>
          <w:tcPr>
            <w:tcW w:w="120" w:type="dxa"/>
            <w:vAlign w:val="bottom"/>
            <w:tcBorders>
              <w:bottom w:val="single" w:sz="8" w:color="FDF5E7"/>
            </w:tcBorders>
            <w:shd w:val="clear" w:color="auto" w:fill="FDF5E7"/>
          </w:tcPr>
          <w:p>
            <w:pPr>
              <w:spacing w:after="0"/>
              <w:rPr>
                <w:sz w:val="17"/>
                <w:szCs w:val="17"/>
                <w:color w:val="auto"/>
              </w:rPr>
            </w:pPr>
          </w:p>
        </w:tc>
        <w:tc>
          <w:tcPr>
            <w:tcW w:w="1080" w:type="dxa"/>
            <w:vAlign w:val="bottom"/>
            <w:tcBorders>
              <w:bottom w:val="single" w:sz="8" w:color="FDF5E7"/>
            </w:tcBorders>
            <w:shd w:val="clear" w:color="auto" w:fill="FDF5E7"/>
          </w:tcPr>
          <w:p>
            <w:pPr>
              <w:spacing w:after="0"/>
              <w:rPr>
                <w:sz w:val="17"/>
                <w:szCs w:val="17"/>
                <w:color w:val="auto"/>
              </w:rPr>
            </w:pPr>
          </w:p>
        </w:tc>
        <w:tc>
          <w:tcPr>
            <w:tcW w:w="660" w:type="dxa"/>
            <w:vAlign w:val="bottom"/>
            <w:tcBorders>
              <w:bottom w:val="single" w:sz="8" w:color="FDF5E7"/>
            </w:tcBorders>
            <w:shd w:val="clear" w:color="auto" w:fill="FDF5E7"/>
          </w:tcPr>
          <w:p>
            <w:pPr>
              <w:spacing w:after="0"/>
              <w:rPr>
                <w:sz w:val="17"/>
                <w:szCs w:val="17"/>
                <w:color w:val="auto"/>
              </w:rPr>
            </w:pPr>
          </w:p>
        </w:tc>
        <w:tc>
          <w:tcPr>
            <w:tcW w:w="60" w:type="dxa"/>
            <w:vAlign w:val="bottom"/>
          </w:tcPr>
          <w:p>
            <w:pPr>
              <w:spacing w:after="0"/>
              <w:rPr>
                <w:sz w:val="17"/>
                <w:szCs w:val="17"/>
                <w:color w:val="auto"/>
              </w:rPr>
            </w:pPr>
          </w:p>
        </w:tc>
      </w:tr>
      <w:tr>
        <w:trPr>
          <w:trHeight w:val="172"/>
        </w:trPr>
        <w:tc>
          <w:tcPr>
            <w:tcW w:w="2300" w:type="dxa"/>
            <w:vAlign w:val="bottom"/>
            <w:tcBorders>
              <w:top w:val="single" w:sz="8" w:color="auto"/>
            </w:tcBorders>
            <w:gridSpan w:val="3"/>
          </w:tcPr>
          <w:p>
            <w:pPr>
              <w:ind w:left="20"/>
              <w:spacing w:after="0"/>
              <w:rPr>
                <w:sz w:val="20"/>
                <w:szCs w:val="20"/>
                <w:color w:val="auto"/>
              </w:rPr>
            </w:pPr>
            <w:r>
              <w:rPr>
                <w:rFonts w:ascii="Arial" w:cs="Arial" w:eastAsia="Arial" w:hAnsi="Arial"/>
                <w:sz w:val="12"/>
                <w:szCs w:val="12"/>
                <w:b w:val="1"/>
                <w:bCs w:val="1"/>
                <w:i w:val="1"/>
                <w:iCs w:val="1"/>
                <w:color w:val="3C3C3B"/>
              </w:rPr>
              <w:t>TOTAL - Assets</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b w:val="1"/>
                <w:bCs w:val="1"/>
                <w:i w:val="1"/>
                <w:iCs w:val="1"/>
                <w:color w:val="auto"/>
              </w:rPr>
              <w:t>86,993</w:t>
            </w:r>
          </w:p>
        </w:tc>
        <w:tc>
          <w:tcPr>
            <w:tcW w:w="1380" w:type="dxa"/>
            <w:vAlign w:val="bottom"/>
            <w:tcBorders>
              <w:top w:val="single" w:sz="8" w:color="auto"/>
            </w:tcBorders>
            <w:gridSpan w:val="2"/>
          </w:tcPr>
          <w:p>
            <w:pPr>
              <w:jc w:val="right"/>
              <w:ind w:right="298"/>
              <w:spacing w:after="0"/>
              <w:rPr>
                <w:sz w:val="20"/>
                <w:szCs w:val="20"/>
                <w:color w:val="auto"/>
              </w:rPr>
            </w:pPr>
            <w:r>
              <w:rPr>
                <w:rFonts w:ascii="Arial" w:cs="Arial" w:eastAsia="Arial" w:hAnsi="Arial"/>
                <w:sz w:val="12"/>
                <w:szCs w:val="12"/>
                <w:b w:val="1"/>
                <w:bCs w:val="1"/>
                <w:i w:val="1"/>
                <w:iCs w:val="1"/>
                <w:color w:val="auto"/>
              </w:rPr>
              <w:t>82,601</w:t>
            </w:r>
          </w:p>
        </w:tc>
        <w:tc>
          <w:tcPr>
            <w:tcW w:w="1300" w:type="dxa"/>
            <w:vAlign w:val="bottom"/>
            <w:tcBorders>
              <w:top w:val="single" w:sz="8" w:color="auto"/>
            </w:tcBorders>
            <w:gridSpan w:val="2"/>
          </w:tcPr>
          <w:p>
            <w:pPr>
              <w:jc w:val="right"/>
              <w:ind w:right="498"/>
              <w:spacing w:after="0"/>
              <w:rPr>
                <w:sz w:val="20"/>
                <w:szCs w:val="20"/>
                <w:color w:val="auto"/>
              </w:rPr>
            </w:pPr>
            <w:r>
              <w:rPr>
                <w:rFonts w:ascii="Arial" w:cs="Arial" w:eastAsia="Arial" w:hAnsi="Arial"/>
                <w:sz w:val="12"/>
                <w:szCs w:val="12"/>
                <w:b w:val="1"/>
                <w:bCs w:val="1"/>
                <w:i w:val="1"/>
                <w:iCs w:val="1"/>
                <w:color w:val="auto"/>
              </w:rPr>
              <w:t>1,425</w:t>
            </w:r>
          </w:p>
        </w:tc>
        <w:tc>
          <w:tcPr>
            <w:tcW w:w="1120" w:type="dxa"/>
            <w:vAlign w:val="bottom"/>
            <w:tcBorders>
              <w:top w:val="single" w:sz="8" w:color="auto"/>
            </w:tcBorders>
            <w:gridSpan w:val="2"/>
          </w:tcPr>
          <w:p>
            <w:pPr>
              <w:jc w:val="right"/>
              <w:ind w:right="498"/>
              <w:spacing w:after="0"/>
              <w:rPr>
                <w:sz w:val="20"/>
                <w:szCs w:val="20"/>
                <w:color w:val="auto"/>
              </w:rPr>
            </w:pPr>
            <w:r>
              <w:rPr>
                <w:rFonts w:ascii="Arial" w:cs="Arial" w:eastAsia="Arial" w:hAnsi="Arial"/>
                <w:sz w:val="12"/>
                <w:szCs w:val="12"/>
                <w:b w:val="1"/>
                <w:bCs w:val="1"/>
                <w:i w:val="1"/>
                <w:iCs w:val="1"/>
                <w:color w:val="auto"/>
              </w:rPr>
              <w:t>2,967</w:t>
            </w: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2"/>
                <w:szCs w:val="12"/>
                <w:b w:val="1"/>
                <w:bCs w:val="1"/>
                <w:i w:val="1"/>
                <w:iCs w:val="1"/>
                <w:color w:val="auto"/>
              </w:rPr>
              <w:t>—</w:t>
            </w:r>
          </w:p>
        </w:tc>
        <w:tc>
          <w:tcPr>
            <w:tcW w:w="4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tcPr>
          <w:p>
            <w:pPr>
              <w:jc w:val="right"/>
              <w:ind w:right="358"/>
              <w:spacing w:after="0"/>
              <w:rPr>
                <w:sz w:val="20"/>
                <w:szCs w:val="20"/>
                <w:color w:val="auto"/>
              </w:rPr>
            </w:pPr>
            <w:r>
              <w:rPr>
                <w:rFonts w:ascii="Arial" w:cs="Arial" w:eastAsia="Arial" w:hAnsi="Arial"/>
                <w:sz w:val="12"/>
                <w:szCs w:val="12"/>
                <w:b w:val="1"/>
                <w:bCs w:val="1"/>
                <w:i w:val="1"/>
                <w:iCs w:val="1"/>
                <w:color w:val="auto"/>
              </w:rPr>
              <w:t>82,142</w:t>
            </w:r>
          </w:p>
        </w:tc>
        <w:tc>
          <w:tcPr>
            <w:tcW w:w="1200" w:type="dxa"/>
            <w:vAlign w:val="bottom"/>
            <w:tcBorders>
              <w:top w:val="single" w:sz="8" w:color="auto"/>
            </w:tcBorders>
            <w:gridSpan w:val="2"/>
          </w:tcPr>
          <w:p>
            <w:pPr>
              <w:jc w:val="right"/>
              <w:ind w:right="458"/>
              <w:spacing w:after="0"/>
              <w:rPr>
                <w:sz w:val="20"/>
                <w:szCs w:val="20"/>
                <w:color w:val="auto"/>
              </w:rPr>
            </w:pPr>
            <w:r>
              <w:rPr>
                <w:rFonts w:ascii="Arial" w:cs="Arial" w:eastAsia="Arial" w:hAnsi="Arial"/>
                <w:sz w:val="12"/>
                <w:szCs w:val="12"/>
                <w:b w:val="1"/>
                <w:bCs w:val="1"/>
                <w:i w:val="1"/>
                <w:iCs w:val="1"/>
                <w:color w:val="auto"/>
              </w:rPr>
              <w:t>2,967</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i w:val="1"/>
                <w:iCs w:val="1"/>
                <w:color w:val="auto"/>
              </w:rPr>
              <w:t>1,885</w:t>
            </w:r>
          </w:p>
        </w:tc>
        <w:tc>
          <w:tcPr>
            <w:tcW w:w="60" w:type="dxa"/>
            <w:vAlign w:val="bottom"/>
          </w:tcPr>
          <w:p>
            <w:pPr>
              <w:spacing w:after="0"/>
              <w:rPr>
                <w:sz w:val="14"/>
                <w:szCs w:val="14"/>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2"/>
        </w:trPr>
        <w:tc>
          <w:tcPr>
            <w:tcW w:w="2300" w:type="dxa"/>
            <w:vAlign w:val="bottom"/>
            <w:gridSpan w:val="3"/>
          </w:tcPr>
          <w:p>
            <w:pPr>
              <w:ind w:left="20"/>
              <w:spacing w:after="0"/>
              <w:rPr>
                <w:sz w:val="20"/>
                <w:szCs w:val="20"/>
                <w:color w:val="auto"/>
              </w:rPr>
            </w:pPr>
            <w:r>
              <w:rPr>
                <w:rFonts w:ascii="Arial" w:cs="Arial" w:eastAsia="Arial" w:hAnsi="Arial"/>
                <w:sz w:val="12"/>
                <w:szCs w:val="12"/>
                <w:b w:val="1"/>
                <w:bCs w:val="1"/>
                <w:color w:val="3C3C3B"/>
              </w:rPr>
              <w:t>Liabilities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2060" w:type="dxa"/>
            <w:vAlign w:val="bottom"/>
            <w:tcBorders>
              <w:bottom w:val="single" w:sz="8" w:color="E99D25"/>
            </w:tcBorders>
          </w:tcPr>
          <w:p>
            <w:pPr>
              <w:spacing w:after="0" w:line="20" w:lineRule="exact"/>
              <w:rPr>
                <w:sz w:val="1"/>
                <w:szCs w:val="1"/>
                <w:color w:val="auto"/>
              </w:rPr>
            </w:pPr>
          </w:p>
        </w:tc>
        <w:tc>
          <w:tcPr>
            <w:tcW w:w="100" w:type="dxa"/>
            <w:vAlign w:val="bottom"/>
            <w:tcBorders>
              <w:bottom w:val="single" w:sz="8" w:color="E99D25"/>
            </w:tcBorders>
          </w:tcPr>
          <w:p>
            <w:pPr>
              <w:spacing w:after="0" w:line="20" w:lineRule="exact"/>
              <w:rPr>
                <w:sz w:val="1"/>
                <w:szCs w:val="1"/>
                <w:color w:val="auto"/>
              </w:rPr>
            </w:pPr>
          </w:p>
        </w:tc>
        <w:tc>
          <w:tcPr>
            <w:tcW w:w="140" w:type="dxa"/>
            <w:vAlign w:val="bottom"/>
            <w:tcBorders>
              <w:bottom w:val="single" w:sz="8" w:color="E99D25"/>
            </w:tcBorders>
          </w:tcPr>
          <w:p>
            <w:pPr>
              <w:spacing w:after="0" w:line="20" w:lineRule="exact"/>
              <w:rPr>
                <w:sz w:val="1"/>
                <w:szCs w:val="1"/>
                <w:color w:val="auto"/>
              </w:rPr>
            </w:pPr>
          </w:p>
        </w:tc>
        <w:tc>
          <w:tcPr>
            <w:tcW w:w="1120" w:type="dxa"/>
            <w:vAlign w:val="bottom"/>
            <w:tcBorders>
              <w:bottom w:val="single" w:sz="8" w:color="E99D25"/>
            </w:tcBorders>
          </w:tcPr>
          <w:p>
            <w:pPr>
              <w:spacing w:after="0" w:line="20" w:lineRule="exact"/>
              <w:rPr>
                <w:sz w:val="1"/>
                <w:szCs w:val="1"/>
                <w:color w:val="auto"/>
              </w:rPr>
            </w:pPr>
          </w:p>
        </w:tc>
        <w:tc>
          <w:tcPr>
            <w:tcW w:w="100" w:type="dxa"/>
            <w:vAlign w:val="bottom"/>
            <w:tcBorders>
              <w:bottom w:val="single" w:sz="8" w:color="E99D25"/>
            </w:tcBorders>
          </w:tcPr>
          <w:p>
            <w:pPr>
              <w:spacing w:after="0" w:line="20" w:lineRule="exact"/>
              <w:rPr>
                <w:sz w:val="1"/>
                <w:szCs w:val="1"/>
                <w:color w:val="auto"/>
              </w:rPr>
            </w:pPr>
          </w:p>
        </w:tc>
        <w:tc>
          <w:tcPr>
            <w:tcW w:w="1280" w:type="dxa"/>
            <w:vAlign w:val="bottom"/>
            <w:tcBorders>
              <w:bottom w:val="single" w:sz="8" w:color="E99D25"/>
            </w:tcBorders>
          </w:tcPr>
          <w:p>
            <w:pPr>
              <w:spacing w:after="0" w:line="20" w:lineRule="exact"/>
              <w:rPr>
                <w:sz w:val="1"/>
                <w:szCs w:val="1"/>
                <w:color w:val="auto"/>
              </w:rPr>
            </w:pPr>
          </w:p>
        </w:tc>
        <w:tc>
          <w:tcPr>
            <w:tcW w:w="100" w:type="dxa"/>
            <w:vAlign w:val="bottom"/>
            <w:tcBorders>
              <w:bottom w:val="single" w:sz="8" w:color="E99D25"/>
            </w:tcBorders>
          </w:tcPr>
          <w:p>
            <w:pPr>
              <w:spacing w:after="0" w:line="20" w:lineRule="exact"/>
              <w:rPr>
                <w:sz w:val="1"/>
                <w:szCs w:val="1"/>
                <w:color w:val="auto"/>
              </w:rPr>
            </w:pPr>
          </w:p>
        </w:tc>
        <w:tc>
          <w:tcPr>
            <w:tcW w:w="1200" w:type="dxa"/>
            <w:vAlign w:val="bottom"/>
            <w:tcBorders>
              <w:bottom w:val="single" w:sz="8" w:color="E99D25"/>
            </w:tcBorders>
          </w:tcPr>
          <w:p>
            <w:pPr>
              <w:spacing w:after="0" w:line="20" w:lineRule="exact"/>
              <w:rPr>
                <w:sz w:val="1"/>
                <w:szCs w:val="1"/>
                <w:color w:val="auto"/>
              </w:rPr>
            </w:pPr>
          </w:p>
        </w:tc>
        <w:tc>
          <w:tcPr>
            <w:tcW w:w="100" w:type="dxa"/>
            <w:vAlign w:val="bottom"/>
            <w:tcBorders>
              <w:bottom w:val="single" w:sz="8" w:color="E99D25"/>
            </w:tcBorders>
          </w:tcPr>
          <w:p>
            <w:pPr>
              <w:spacing w:after="0" w:line="20" w:lineRule="exact"/>
              <w:rPr>
                <w:sz w:val="1"/>
                <w:szCs w:val="1"/>
                <w:color w:val="auto"/>
              </w:rPr>
            </w:pPr>
          </w:p>
        </w:tc>
        <w:tc>
          <w:tcPr>
            <w:tcW w:w="1020" w:type="dxa"/>
            <w:vAlign w:val="bottom"/>
            <w:tcBorders>
              <w:bottom w:val="single" w:sz="8" w:color="E99D25"/>
            </w:tcBorders>
          </w:tcPr>
          <w:p>
            <w:pPr>
              <w:spacing w:after="0" w:line="20" w:lineRule="exact"/>
              <w:rPr>
                <w:sz w:val="1"/>
                <w:szCs w:val="1"/>
                <w:color w:val="auto"/>
              </w:rPr>
            </w:pPr>
          </w:p>
        </w:tc>
        <w:tc>
          <w:tcPr>
            <w:tcW w:w="80" w:type="dxa"/>
            <w:vAlign w:val="bottom"/>
            <w:tcBorders>
              <w:bottom w:val="single" w:sz="8" w:color="E99D25"/>
            </w:tcBorders>
          </w:tcPr>
          <w:p>
            <w:pPr>
              <w:spacing w:after="0" w:line="20" w:lineRule="exact"/>
              <w:rPr>
                <w:sz w:val="1"/>
                <w:szCs w:val="1"/>
                <w:color w:val="auto"/>
              </w:rPr>
            </w:pPr>
          </w:p>
        </w:tc>
        <w:tc>
          <w:tcPr>
            <w:tcW w:w="540" w:type="dxa"/>
            <w:vAlign w:val="bottom"/>
            <w:tcBorders>
              <w:bottom w:val="single" w:sz="8" w:color="E99D25"/>
              <w:right w:val="single" w:sz="8" w:color="auto"/>
            </w:tcBorders>
          </w:tcPr>
          <w:p>
            <w:pPr>
              <w:spacing w:after="0" w:line="20" w:lineRule="exact"/>
              <w:rPr>
                <w:sz w:val="1"/>
                <w:szCs w:val="1"/>
                <w:color w:val="auto"/>
              </w:rPr>
            </w:pPr>
          </w:p>
        </w:tc>
        <w:tc>
          <w:tcPr>
            <w:tcW w:w="460" w:type="dxa"/>
            <w:vAlign w:val="bottom"/>
            <w:tcBorders>
              <w:bottom w:val="single" w:sz="8" w:color="E99D25"/>
            </w:tcBorders>
          </w:tcPr>
          <w:p>
            <w:pPr>
              <w:spacing w:after="0" w:line="20" w:lineRule="exact"/>
              <w:rPr>
                <w:sz w:val="1"/>
                <w:szCs w:val="1"/>
                <w:color w:val="auto"/>
              </w:rPr>
            </w:pPr>
          </w:p>
        </w:tc>
        <w:tc>
          <w:tcPr>
            <w:tcW w:w="120" w:type="dxa"/>
            <w:vAlign w:val="bottom"/>
            <w:tcBorders>
              <w:bottom w:val="single" w:sz="8" w:color="E99D25"/>
            </w:tcBorders>
          </w:tcPr>
          <w:p>
            <w:pPr>
              <w:spacing w:after="0" w:line="20" w:lineRule="exact"/>
              <w:rPr>
                <w:sz w:val="1"/>
                <w:szCs w:val="1"/>
                <w:color w:val="auto"/>
              </w:rPr>
            </w:pPr>
          </w:p>
        </w:tc>
        <w:tc>
          <w:tcPr>
            <w:tcW w:w="880" w:type="dxa"/>
            <w:vAlign w:val="bottom"/>
            <w:tcBorders>
              <w:bottom w:val="single" w:sz="8" w:color="E99D25"/>
            </w:tcBorders>
          </w:tcPr>
          <w:p>
            <w:pPr>
              <w:spacing w:after="0" w:line="20" w:lineRule="exact"/>
              <w:rPr>
                <w:sz w:val="1"/>
                <w:szCs w:val="1"/>
                <w:color w:val="auto"/>
              </w:rPr>
            </w:pPr>
          </w:p>
        </w:tc>
        <w:tc>
          <w:tcPr>
            <w:tcW w:w="120" w:type="dxa"/>
            <w:vAlign w:val="bottom"/>
            <w:tcBorders>
              <w:bottom w:val="single" w:sz="8" w:color="E99D25"/>
            </w:tcBorders>
          </w:tcPr>
          <w:p>
            <w:pPr>
              <w:spacing w:after="0" w:line="20" w:lineRule="exact"/>
              <w:rPr>
                <w:sz w:val="1"/>
                <w:szCs w:val="1"/>
                <w:color w:val="auto"/>
              </w:rPr>
            </w:pPr>
          </w:p>
        </w:tc>
        <w:tc>
          <w:tcPr>
            <w:tcW w:w="1080" w:type="dxa"/>
            <w:vAlign w:val="bottom"/>
            <w:tcBorders>
              <w:bottom w:val="single" w:sz="8" w:color="E99D25"/>
            </w:tcBorders>
          </w:tcPr>
          <w:p>
            <w:pPr>
              <w:spacing w:after="0" w:line="20" w:lineRule="exact"/>
              <w:rPr>
                <w:sz w:val="1"/>
                <w:szCs w:val="1"/>
                <w:color w:val="auto"/>
              </w:rPr>
            </w:pPr>
          </w:p>
        </w:tc>
        <w:tc>
          <w:tcPr>
            <w:tcW w:w="660" w:type="dxa"/>
            <w:vAlign w:val="bottom"/>
            <w:tcBorders>
              <w:bottom w:val="single" w:sz="8" w:color="E99D2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6"/>
        </w:trPr>
        <w:tc>
          <w:tcPr>
            <w:tcW w:w="2300" w:type="dxa"/>
            <w:vAlign w:val="bottom"/>
            <w:gridSpan w:val="3"/>
          </w:tcPr>
          <w:p>
            <w:pPr>
              <w:ind w:left="20"/>
              <w:spacing w:after="0"/>
              <w:rPr>
                <w:sz w:val="20"/>
                <w:szCs w:val="20"/>
                <w:color w:val="auto"/>
              </w:rPr>
            </w:pPr>
            <w:r>
              <w:rPr>
                <w:rFonts w:ascii="Arial" w:cs="Arial" w:eastAsia="Arial" w:hAnsi="Arial"/>
                <w:sz w:val="12"/>
                <w:szCs w:val="12"/>
                <w:color w:val="3C3C3B"/>
              </w:rPr>
              <w:t>Convertible loans</w:t>
            </w:r>
          </w:p>
        </w:tc>
        <w:tc>
          <w:tcPr>
            <w:tcW w:w="1120" w:type="dxa"/>
            <w:vAlign w:val="bottom"/>
          </w:tcPr>
          <w:p>
            <w:pPr>
              <w:jc w:val="right"/>
              <w:ind w:right="18"/>
              <w:spacing w:after="0"/>
              <w:rPr>
                <w:sz w:val="20"/>
                <w:szCs w:val="20"/>
                <w:color w:val="auto"/>
              </w:rPr>
            </w:pPr>
            <w:r>
              <w:rPr>
                <w:rFonts w:ascii="Arial" w:cs="Arial" w:eastAsia="Arial" w:hAnsi="Arial"/>
                <w:sz w:val="12"/>
                <w:szCs w:val="12"/>
                <w:color w:val="auto"/>
              </w:rPr>
              <w:t>54,572</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18"/>
              <w:spacing w:after="0"/>
              <w:rPr>
                <w:sz w:val="20"/>
                <w:szCs w:val="20"/>
                <w:color w:val="auto"/>
              </w:rPr>
            </w:pPr>
            <w:r>
              <w:rPr>
                <w:rFonts w:ascii="Arial" w:cs="Arial" w:eastAsia="Arial" w:hAnsi="Arial"/>
                <w:sz w:val="12"/>
                <w:szCs w:val="12"/>
                <w:color w:val="auto"/>
              </w:rPr>
              <w:t>54,572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2"/>
          </w:tcPr>
          <w:p>
            <w:pPr>
              <w:jc w:val="right"/>
              <w:ind w:right="458"/>
              <w:spacing w:after="0"/>
              <w:rPr>
                <w:sz w:val="20"/>
                <w:szCs w:val="20"/>
                <w:color w:val="auto"/>
              </w:rPr>
            </w:pPr>
            <w:r>
              <w:rPr>
                <w:rFonts w:ascii="Arial" w:cs="Arial" w:eastAsia="Arial" w:hAnsi="Arial"/>
                <w:sz w:val="12"/>
                <w:szCs w:val="12"/>
                <w:color w:val="auto"/>
              </w:rPr>
              <w:t>56,320</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6"/>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79"/>
        </w:trPr>
        <w:tc>
          <w:tcPr>
            <w:tcW w:w="2300" w:type="dxa"/>
            <w:vAlign w:val="bottom"/>
            <w:tcBorders>
              <w:bottom w:val="single" w:sz="8" w:color="FDF5E7"/>
            </w:tcBorders>
            <w:gridSpan w:val="3"/>
            <w:shd w:val="clear" w:color="auto" w:fill="FDF5E7"/>
          </w:tcPr>
          <w:p>
            <w:pPr>
              <w:ind w:left="20"/>
              <w:spacing w:after="0"/>
              <w:rPr>
                <w:sz w:val="20"/>
                <w:szCs w:val="20"/>
                <w:color w:val="auto"/>
              </w:rPr>
            </w:pPr>
            <w:r>
              <w:rPr>
                <w:rFonts w:ascii="Arial" w:cs="Arial" w:eastAsia="Arial" w:hAnsi="Arial"/>
                <w:sz w:val="12"/>
                <w:szCs w:val="12"/>
                <w:color w:val="3C3C3B"/>
              </w:rPr>
              <w:t>Bank loans</w:t>
            </w:r>
          </w:p>
        </w:tc>
        <w:tc>
          <w:tcPr>
            <w:tcW w:w="1120" w:type="dxa"/>
            <w:vAlign w:val="bottom"/>
            <w:tcBorders>
              <w:bottom w:val="single" w:sz="8" w:color="FDF5E7"/>
            </w:tcBorders>
            <w:shd w:val="clear" w:color="auto" w:fill="FDF5E7"/>
          </w:tcPr>
          <w:p>
            <w:pPr>
              <w:jc w:val="right"/>
              <w:ind w:right="18"/>
              <w:spacing w:after="0"/>
              <w:rPr>
                <w:sz w:val="20"/>
                <w:szCs w:val="20"/>
                <w:color w:val="auto"/>
              </w:rPr>
            </w:pPr>
            <w:r>
              <w:rPr>
                <w:rFonts w:ascii="Arial" w:cs="Arial" w:eastAsia="Arial" w:hAnsi="Arial"/>
                <w:sz w:val="12"/>
                <w:szCs w:val="12"/>
                <w:color w:val="auto"/>
              </w:rPr>
              <w:t>2,496</w:t>
            </w:r>
          </w:p>
        </w:tc>
        <w:tc>
          <w:tcPr>
            <w:tcW w:w="100" w:type="dxa"/>
            <w:vAlign w:val="bottom"/>
            <w:tcBorders>
              <w:bottom w:val="single" w:sz="8" w:color="FDF5E7"/>
            </w:tcBorders>
            <w:shd w:val="clear" w:color="auto" w:fill="FDF5E7"/>
          </w:tcPr>
          <w:p>
            <w:pPr>
              <w:spacing w:after="0"/>
              <w:rPr>
                <w:sz w:val="15"/>
                <w:szCs w:val="15"/>
                <w:color w:val="auto"/>
              </w:rPr>
            </w:pPr>
          </w:p>
        </w:tc>
        <w:tc>
          <w:tcPr>
            <w:tcW w:w="1280" w:type="dxa"/>
            <w:vAlign w:val="bottom"/>
            <w:tcBorders>
              <w:bottom w:val="single" w:sz="8" w:color="FDF5E7"/>
            </w:tcBorders>
            <w:shd w:val="clear" w:color="auto" w:fill="FDF5E7"/>
          </w:tcPr>
          <w:p>
            <w:pPr>
              <w:spacing w:after="0"/>
              <w:rPr>
                <w:sz w:val="15"/>
                <w:szCs w:val="15"/>
                <w:color w:val="auto"/>
              </w:rPr>
            </w:pPr>
          </w:p>
        </w:tc>
        <w:tc>
          <w:tcPr>
            <w:tcW w:w="100" w:type="dxa"/>
            <w:vAlign w:val="bottom"/>
            <w:tcBorders>
              <w:bottom w:val="single" w:sz="8" w:color="FDF5E7"/>
            </w:tcBorders>
            <w:shd w:val="clear" w:color="auto" w:fill="FDF5E7"/>
          </w:tcPr>
          <w:p>
            <w:pPr>
              <w:spacing w:after="0"/>
              <w:rPr>
                <w:sz w:val="15"/>
                <w:szCs w:val="15"/>
                <w:color w:val="auto"/>
              </w:rPr>
            </w:pPr>
          </w:p>
        </w:tc>
        <w:tc>
          <w:tcPr>
            <w:tcW w:w="1200" w:type="dxa"/>
            <w:vAlign w:val="bottom"/>
            <w:tcBorders>
              <w:bottom w:val="single" w:sz="8" w:color="FDF5E7"/>
            </w:tcBorders>
            <w:shd w:val="clear" w:color="auto" w:fill="FDF5E7"/>
          </w:tcPr>
          <w:p>
            <w:pPr>
              <w:spacing w:after="0"/>
              <w:rPr>
                <w:sz w:val="15"/>
                <w:szCs w:val="15"/>
                <w:color w:val="auto"/>
              </w:rPr>
            </w:pPr>
          </w:p>
        </w:tc>
        <w:tc>
          <w:tcPr>
            <w:tcW w:w="100" w:type="dxa"/>
            <w:vAlign w:val="bottom"/>
            <w:tcBorders>
              <w:bottom w:val="single" w:sz="8" w:color="FDF5E7"/>
            </w:tcBorders>
            <w:shd w:val="clear" w:color="auto" w:fill="FDF5E7"/>
          </w:tcPr>
          <w:p>
            <w:pPr>
              <w:spacing w:after="0"/>
              <w:rPr>
                <w:sz w:val="15"/>
                <w:szCs w:val="15"/>
                <w:color w:val="auto"/>
              </w:rPr>
            </w:pPr>
          </w:p>
        </w:tc>
        <w:tc>
          <w:tcPr>
            <w:tcW w:w="1020" w:type="dxa"/>
            <w:vAlign w:val="bottom"/>
            <w:tcBorders>
              <w:bottom w:val="single" w:sz="8" w:color="FDF5E7"/>
              <w:right w:val="single" w:sz="8" w:color="FDF5E7"/>
            </w:tcBorders>
            <w:shd w:val="clear" w:color="auto" w:fill="FDF5E7"/>
          </w:tcPr>
          <w:p>
            <w:pPr>
              <w:spacing w:after="0"/>
              <w:rPr>
                <w:sz w:val="15"/>
                <w:szCs w:val="15"/>
                <w:color w:val="auto"/>
              </w:rPr>
            </w:pPr>
          </w:p>
        </w:tc>
        <w:tc>
          <w:tcPr>
            <w:tcW w:w="620" w:type="dxa"/>
            <w:vAlign w:val="bottom"/>
            <w:tcBorders>
              <w:bottom w:val="single" w:sz="8" w:color="FDF5E7"/>
              <w:right w:val="single" w:sz="8" w:color="auto"/>
            </w:tcBorders>
            <w:gridSpan w:val="2"/>
            <w:shd w:val="clear" w:color="auto" w:fill="FDF5E7"/>
          </w:tcPr>
          <w:p>
            <w:pPr>
              <w:jc w:val="right"/>
              <w:ind w:right="18"/>
              <w:spacing w:after="0"/>
              <w:rPr>
                <w:sz w:val="20"/>
                <w:szCs w:val="20"/>
                <w:color w:val="auto"/>
              </w:rPr>
            </w:pPr>
            <w:r>
              <w:rPr>
                <w:rFonts w:ascii="Arial" w:cs="Arial" w:eastAsia="Arial" w:hAnsi="Arial"/>
                <w:sz w:val="12"/>
                <w:szCs w:val="12"/>
                <w:color w:val="auto"/>
              </w:rPr>
              <w:t>2,496</w:t>
            </w:r>
          </w:p>
        </w:tc>
        <w:tc>
          <w:tcPr>
            <w:tcW w:w="460" w:type="dxa"/>
            <w:vAlign w:val="bottom"/>
            <w:tcBorders>
              <w:bottom w:val="single" w:sz="8" w:color="FDF5E7"/>
            </w:tcBorders>
            <w:shd w:val="clear" w:color="auto" w:fill="FDF5E7"/>
          </w:tcPr>
          <w:p>
            <w:pPr>
              <w:spacing w:after="0"/>
              <w:rPr>
                <w:sz w:val="15"/>
                <w:szCs w:val="15"/>
                <w:color w:val="auto"/>
              </w:rPr>
            </w:pPr>
          </w:p>
        </w:tc>
        <w:tc>
          <w:tcPr>
            <w:tcW w:w="120" w:type="dxa"/>
            <w:vAlign w:val="bottom"/>
            <w:tcBorders>
              <w:bottom w:val="single" w:sz="8" w:color="FDF5E7"/>
              <w:right w:val="single" w:sz="8" w:color="FDF5E7"/>
            </w:tcBorders>
            <w:shd w:val="clear" w:color="auto" w:fill="FDF5E7"/>
          </w:tcPr>
          <w:p>
            <w:pPr>
              <w:spacing w:after="0"/>
              <w:rPr>
                <w:sz w:val="15"/>
                <w:szCs w:val="15"/>
                <w:color w:val="auto"/>
              </w:rPr>
            </w:pPr>
          </w:p>
        </w:tc>
        <w:tc>
          <w:tcPr>
            <w:tcW w:w="880" w:type="dxa"/>
            <w:vAlign w:val="bottom"/>
            <w:tcBorders>
              <w:bottom w:val="single" w:sz="8" w:color="FDF5E7"/>
            </w:tcBorders>
            <w:shd w:val="clear" w:color="auto" w:fill="FDF5E7"/>
          </w:tcPr>
          <w:p>
            <w:pPr>
              <w:spacing w:after="0"/>
              <w:rPr>
                <w:sz w:val="15"/>
                <w:szCs w:val="15"/>
                <w:color w:val="auto"/>
              </w:rPr>
            </w:pPr>
          </w:p>
        </w:tc>
        <w:tc>
          <w:tcPr>
            <w:tcW w:w="1200" w:type="dxa"/>
            <w:vAlign w:val="bottom"/>
            <w:tcBorders>
              <w:bottom w:val="single" w:sz="8" w:color="FDF5E7"/>
            </w:tcBorders>
            <w:gridSpan w:val="2"/>
            <w:shd w:val="clear" w:color="auto" w:fill="FDF5E7"/>
          </w:tcPr>
          <w:p>
            <w:pPr>
              <w:jc w:val="right"/>
              <w:ind w:right="458"/>
              <w:spacing w:after="0"/>
              <w:rPr>
                <w:sz w:val="20"/>
                <w:szCs w:val="20"/>
                <w:color w:val="auto"/>
              </w:rPr>
            </w:pPr>
            <w:r>
              <w:rPr>
                <w:rFonts w:ascii="Arial" w:cs="Arial" w:eastAsia="Arial" w:hAnsi="Arial"/>
                <w:sz w:val="12"/>
                <w:szCs w:val="12"/>
                <w:color w:val="auto"/>
              </w:rPr>
              <w:t>2,496</w:t>
            </w:r>
          </w:p>
        </w:tc>
        <w:tc>
          <w:tcPr>
            <w:tcW w:w="660" w:type="dxa"/>
            <w:vAlign w:val="bottom"/>
            <w:tcBorders>
              <w:bottom w:val="single" w:sz="8" w:color="FDF5E7"/>
            </w:tcBorders>
            <w:shd w:val="clear" w:color="auto" w:fill="FDF5E7"/>
          </w:tcPr>
          <w:p>
            <w:pPr>
              <w:spacing w:after="0"/>
              <w:rPr>
                <w:sz w:val="15"/>
                <w:szCs w:val="15"/>
                <w:color w:val="auto"/>
              </w:rPr>
            </w:pPr>
          </w:p>
        </w:tc>
        <w:tc>
          <w:tcPr>
            <w:tcW w:w="60" w:type="dxa"/>
            <w:vAlign w:val="bottom"/>
          </w:tcPr>
          <w:p>
            <w:pPr>
              <w:spacing w:after="0"/>
              <w:rPr>
                <w:sz w:val="15"/>
                <w:szCs w:val="15"/>
                <w:color w:val="auto"/>
              </w:rPr>
            </w:pPr>
          </w:p>
        </w:tc>
      </w:tr>
      <w:tr>
        <w:trPr>
          <w:trHeight w:val="173"/>
        </w:trPr>
        <w:tc>
          <w:tcPr>
            <w:tcW w:w="2300" w:type="dxa"/>
            <w:vAlign w:val="bottom"/>
            <w:gridSpan w:val="3"/>
          </w:tcPr>
          <w:p>
            <w:pPr>
              <w:ind w:left="20"/>
              <w:spacing w:after="0"/>
              <w:rPr>
                <w:sz w:val="20"/>
                <w:szCs w:val="20"/>
                <w:color w:val="auto"/>
              </w:rPr>
            </w:pPr>
            <w:r>
              <w:rPr>
                <w:rFonts w:ascii="Arial" w:cs="Arial" w:eastAsia="Arial" w:hAnsi="Arial"/>
                <w:sz w:val="12"/>
                <w:szCs w:val="12"/>
                <w:color w:val="3C3C3B"/>
              </w:rPr>
              <w:t>Obligations under finance leases</w:t>
            </w:r>
          </w:p>
        </w:tc>
        <w:tc>
          <w:tcPr>
            <w:tcW w:w="1120" w:type="dxa"/>
            <w:vAlign w:val="bottom"/>
          </w:tcPr>
          <w:p>
            <w:pPr>
              <w:jc w:val="right"/>
              <w:ind w:right="18"/>
              <w:spacing w:after="0"/>
              <w:rPr>
                <w:sz w:val="20"/>
                <w:szCs w:val="20"/>
                <w:color w:val="auto"/>
              </w:rPr>
            </w:pPr>
            <w:r>
              <w:rPr>
                <w:rFonts w:ascii="Arial" w:cs="Arial" w:eastAsia="Arial" w:hAnsi="Arial"/>
                <w:sz w:val="12"/>
                <w:szCs w:val="12"/>
                <w:color w:val="auto"/>
              </w:rPr>
              <w:t>5,060</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18"/>
              <w:spacing w:after="0"/>
              <w:rPr>
                <w:sz w:val="20"/>
                <w:szCs w:val="20"/>
                <w:color w:val="auto"/>
              </w:rPr>
            </w:pPr>
            <w:r>
              <w:rPr>
                <w:rFonts w:ascii="Arial" w:cs="Arial" w:eastAsia="Arial" w:hAnsi="Arial"/>
                <w:sz w:val="12"/>
                <w:szCs w:val="12"/>
                <w:color w:val="auto"/>
              </w:rPr>
              <w:t>5,060</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gridSpan w:val="2"/>
          </w:tcPr>
          <w:p>
            <w:pPr>
              <w:jc w:val="right"/>
              <w:ind w:right="458"/>
              <w:spacing w:after="0"/>
              <w:rPr>
                <w:sz w:val="20"/>
                <w:szCs w:val="20"/>
                <w:color w:val="auto"/>
              </w:rPr>
            </w:pPr>
            <w:r>
              <w:rPr>
                <w:rFonts w:ascii="Arial" w:cs="Arial" w:eastAsia="Arial" w:hAnsi="Arial"/>
                <w:sz w:val="12"/>
                <w:szCs w:val="12"/>
                <w:color w:val="auto"/>
              </w:rPr>
              <w:t>5,060</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6"/>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79"/>
        </w:trPr>
        <w:tc>
          <w:tcPr>
            <w:tcW w:w="2300" w:type="dxa"/>
            <w:vAlign w:val="bottom"/>
            <w:tcBorders>
              <w:bottom w:val="single" w:sz="8" w:color="FDF5E7"/>
            </w:tcBorders>
            <w:gridSpan w:val="3"/>
            <w:shd w:val="clear" w:color="auto" w:fill="FDF5E7"/>
          </w:tcPr>
          <w:p>
            <w:pPr>
              <w:ind w:left="20"/>
              <w:spacing w:after="0"/>
              <w:rPr>
                <w:sz w:val="20"/>
                <w:szCs w:val="20"/>
                <w:color w:val="auto"/>
              </w:rPr>
            </w:pPr>
            <w:r>
              <w:rPr>
                <w:rFonts w:ascii="Arial" w:cs="Arial" w:eastAsia="Arial" w:hAnsi="Arial"/>
                <w:sz w:val="12"/>
                <w:szCs w:val="12"/>
                <w:color w:val="3C3C3B"/>
              </w:rPr>
              <w:t>Accrued interests</w:t>
            </w:r>
          </w:p>
        </w:tc>
        <w:tc>
          <w:tcPr>
            <w:tcW w:w="1120" w:type="dxa"/>
            <w:vAlign w:val="bottom"/>
            <w:tcBorders>
              <w:bottom w:val="single" w:sz="8" w:color="FDF5E7"/>
            </w:tcBorders>
            <w:shd w:val="clear" w:color="auto" w:fill="FDF5E7"/>
          </w:tcPr>
          <w:p>
            <w:pPr>
              <w:jc w:val="right"/>
              <w:ind w:right="18"/>
              <w:spacing w:after="0"/>
              <w:rPr>
                <w:sz w:val="20"/>
                <w:szCs w:val="20"/>
                <w:color w:val="auto"/>
              </w:rPr>
            </w:pPr>
            <w:r>
              <w:rPr>
                <w:rFonts w:ascii="Arial" w:cs="Arial" w:eastAsia="Arial" w:hAnsi="Arial"/>
                <w:sz w:val="12"/>
                <w:szCs w:val="12"/>
                <w:color w:val="auto"/>
              </w:rPr>
              <w:t>5</w:t>
            </w:r>
          </w:p>
        </w:tc>
        <w:tc>
          <w:tcPr>
            <w:tcW w:w="100" w:type="dxa"/>
            <w:vAlign w:val="bottom"/>
            <w:tcBorders>
              <w:bottom w:val="single" w:sz="8" w:color="FDF5E7"/>
            </w:tcBorders>
            <w:shd w:val="clear" w:color="auto" w:fill="FDF5E7"/>
          </w:tcPr>
          <w:p>
            <w:pPr>
              <w:spacing w:after="0"/>
              <w:rPr>
                <w:sz w:val="15"/>
                <w:szCs w:val="15"/>
                <w:color w:val="auto"/>
              </w:rPr>
            </w:pPr>
          </w:p>
        </w:tc>
        <w:tc>
          <w:tcPr>
            <w:tcW w:w="1280" w:type="dxa"/>
            <w:vAlign w:val="bottom"/>
            <w:tcBorders>
              <w:bottom w:val="single" w:sz="8" w:color="FDF5E7"/>
            </w:tcBorders>
            <w:shd w:val="clear" w:color="auto" w:fill="FDF5E7"/>
          </w:tcPr>
          <w:p>
            <w:pPr>
              <w:spacing w:after="0"/>
              <w:rPr>
                <w:sz w:val="15"/>
                <w:szCs w:val="15"/>
                <w:color w:val="auto"/>
              </w:rPr>
            </w:pPr>
          </w:p>
        </w:tc>
        <w:tc>
          <w:tcPr>
            <w:tcW w:w="100" w:type="dxa"/>
            <w:vAlign w:val="bottom"/>
            <w:tcBorders>
              <w:bottom w:val="single" w:sz="8" w:color="FDF5E7"/>
            </w:tcBorders>
            <w:shd w:val="clear" w:color="auto" w:fill="FDF5E7"/>
          </w:tcPr>
          <w:p>
            <w:pPr>
              <w:spacing w:after="0"/>
              <w:rPr>
                <w:sz w:val="15"/>
                <w:szCs w:val="15"/>
                <w:color w:val="auto"/>
              </w:rPr>
            </w:pPr>
          </w:p>
        </w:tc>
        <w:tc>
          <w:tcPr>
            <w:tcW w:w="1200" w:type="dxa"/>
            <w:vAlign w:val="bottom"/>
            <w:tcBorders>
              <w:bottom w:val="single" w:sz="8" w:color="FDF5E7"/>
            </w:tcBorders>
            <w:shd w:val="clear" w:color="auto" w:fill="FDF5E7"/>
          </w:tcPr>
          <w:p>
            <w:pPr>
              <w:spacing w:after="0"/>
              <w:rPr>
                <w:sz w:val="15"/>
                <w:szCs w:val="15"/>
                <w:color w:val="auto"/>
              </w:rPr>
            </w:pPr>
          </w:p>
        </w:tc>
        <w:tc>
          <w:tcPr>
            <w:tcW w:w="100" w:type="dxa"/>
            <w:vAlign w:val="bottom"/>
            <w:tcBorders>
              <w:bottom w:val="single" w:sz="8" w:color="FDF5E7"/>
            </w:tcBorders>
            <w:shd w:val="clear" w:color="auto" w:fill="FDF5E7"/>
          </w:tcPr>
          <w:p>
            <w:pPr>
              <w:spacing w:after="0"/>
              <w:rPr>
                <w:sz w:val="15"/>
                <w:szCs w:val="15"/>
                <w:color w:val="auto"/>
              </w:rPr>
            </w:pPr>
          </w:p>
        </w:tc>
        <w:tc>
          <w:tcPr>
            <w:tcW w:w="1020" w:type="dxa"/>
            <w:vAlign w:val="bottom"/>
            <w:tcBorders>
              <w:bottom w:val="single" w:sz="8" w:color="FDF5E7"/>
              <w:right w:val="single" w:sz="8" w:color="FDF5E7"/>
            </w:tcBorders>
            <w:shd w:val="clear" w:color="auto" w:fill="FDF5E7"/>
          </w:tcPr>
          <w:p>
            <w:pPr>
              <w:spacing w:after="0"/>
              <w:rPr>
                <w:sz w:val="15"/>
                <w:szCs w:val="15"/>
                <w:color w:val="auto"/>
              </w:rPr>
            </w:pPr>
          </w:p>
        </w:tc>
        <w:tc>
          <w:tcPr>
            <w:tcW w:w="620" w:type="dxa"/>
            <w:vAlign w:val="bottom"/>
            <w:tcBorders>
              <w:bottom w:val="single" w:sz="8" w:color="FDF5E7"/>
              <w:right w:val="single" w:sz="8" w:color="auto"/>
            </w:tcBorders>
            <w:gridSpan w:val="2"/>
            <w:shd w:val="clear" w:color="auto" w:fill="FDF5E7"/>
          </w:tcPr>
          <w:p>
            <w:pPr>
              <w:jc w:val="right"/>
              <w:ind w:right="18"/>
              <w:spacing w:after="0"/>
              <w:rPr>
                <w:sz w:val="20"/>
                <w:szCs w:val="20"/>
                <w:color w:val="auto"/>
              </w:rPr>
            </w:pPr>
            <w:r>
              <w:rPr>
                <w:rFonts w:ascii="Arial" w:cs="Arial" w:eastAsia="Arial" w:hAnsi="Arial"/>
                <w:sz w:val="12"/>
                <w:szCs w:val="12"/>
                <w:color w:val="auto"/>
              </w:rPr>
              <w:t>5</w:t>
            </w:r>
          </w:p>
        </w:tc>
        <w:tc>
          <w:tcPr>
            <w:tcW w:w="460" w:type="dxa"/>
            <w:vAlign w:val="bottom"/>
            <w:tcBorders>
              <w:bottom w:val="single" w:sz="8" w:color="FDF5E7"/>
            </w:tcBorders>
            <w:shd w:val="clear" w:color="auto" w:fill="FDF5E7"/>
          </w:tcPr>
          <w:p>
            <w:pPr>
              <w:spacing w:after="0"/>
              <w:rPr>
                <w:sz w:val="15"/>
                <w:szCs w:val="15"/>
                <w:color w:val="auto"/>
              </w:rPr>
            </w:pPr>
          </w:p>
        </w:tc>
        <w:tc>
          <w:tcPr>
            <w:tcW w:w="120" w:type="dxa"/>
            <w:vAlign w:val="bottom"/>
            <w:tcBorders>
              <w:bottom w:val="single" w:sz="8" w:color="FDF5E7"/>
              <w:right w:val="single" w:sz="8" w:color="FDF5E7"/>
            </w:tcBorders>
            <w:shd w:val="clear" w:color="auto" w:fill="FDF5E7"/>
          </w:tcPr>
          <w:p>
            <w:pPr>
              <w:spacing w:after="0"/>
              <w:rPr>
                <w:sz w:val="15"/>
                <w:szCs w:val="15"/>
                <w:color w:val="auto"/>
              </w:rPr>
            </w:pPr>
          </w:p>
        </w:tc>
        <w:tc>
          <w:tcPr>
            <w:tcW w:w="880" w:type="dxa"/>
            <w:vAlign w:val="bottom"/>
            <w:tcBorders>
              <w:bottom w:val="single" w:sz="8" w:color="FDF5E7"/>
            </w:tcBorders>
            <w:shd w:val="clear" w:color="auto" w:fill="FDF5E7"/>
          </w:tcPr>
          <w:p>
            <w:pPr>
              <w:spacing w:after="0"/>
              <w:rPr>
                <w:sz w:val="15"/>
                <w:szCs w:val="15"/>
                <w:color w:val="auto"/>
              </w:rPr>
            </w:pPr>
          </w:p>
        </w:tc>
        <w:tc>
          <w:tcPr>
            <w:tcW w:w="1200" w:type="dxa"/>
            <w:vAlign w:val="bottom"/>
            <w:tcBorders>
              <w:bottom w:val="single" w:sz="8" w:color="FDF5E7"/>
            </w:tcBorders>
            <w:gridSpan w:val="2"/>
            <w:shd w:val="clear" w:color="auto" w:fill="FDF5E7"/>
          </w:tcPr>
          <w:p>
            <w:pPr>
              <w:jc w:val="right"/>
              <w:ind w:right="458"/>
              <w:spacing w:after="0"/>
              <w:rPr>
                <w:sz w:val="20"/>
                <w:szCs w:val="20"/>
                <w:color w:val="auto"/>
              </w:rPr>
            </w:pPr>
            <w:r>
              <w:rPr>
                <w:rFonts w:ascii="Arial" w:cs="Arial" w:eastAsia="Arial" w:hAnsi="Arial"/>
                <w:sz w:val="12"/>
                <w:szCs w:val="12"/>
                <w:color w:val="auto"/>
              </w:rPr>
              <w:t>5</w:t>
            </w:r>
          </w:p>
        </w:tc>
        <w:tc>
          <w:tcPr>
            <w:tcW w:w="660" w:type="dxa"/>
            <w:vAlign w:val="bottom"/>
            <w:tcBorders>
              <w:bottom w:val="single" w:sz="8" w:color="FDF5E7"/>
            </w:tcBorders>
            <w:shd w:val="clear" w:color="auto" w:fill="FDF5E7"/>
          </w:tcPr>
          <w:p>
            <w:pPr>
              <w:spacing w:after="0"/>
              <w:rPr>
                <w:sz w:val="15"/>
                <w:szCs w:val="15"/>
                <w:color w:val="auto"/>
              </w:rPr>
            </w:pPr>
          </w:p>
        </w:tc>
        <w:tc>
          <w:tcPr>
            <w:tcW w:w="60" w:type="dxa"/>
            <w:vAlign w:val="bottom"/>
          </w:tcPr>
          <w:p>
            <w:pPr>
              <w:spacing w:after="0"/>
              <w:rPr>
                <w:sz w:val="15"/>
                <w:szCs w:val="15"/>
                <w:color w:val="auto"/>
              </w:rPr>
            </w:pPr>
          </w:p>
        </w:tc>
      </w:tr>
      <w:tr>
        <w:trPr>
          <w:trHeight w:val="173"/>
        </w:trPr>
        <w:tc>
          <w:tcPr>
            <w:tcW w:w="2300" w:type="dxa"/>
            <w:vAlign w:val="bottom"/>
            <w:gridSpan w:val="3"/>
          </w:tcPr>
          <w:p>
            <w:pPr>
              <w:ind w:left="20"/>
              <w:spacing w:after="0"/>
              <w:rPr>
                <w:sz w:val="20"/>
                <w:szCs w:val="20"/>
                <w:color w:val="auto"/>
              </w:rPr>
            </w:pPr>
            <w:r>
              <w:rPr>
                <w:rFonts w:ascii="Arial" w:cs="Arial" w:eastAsia="Arial" w:hAnsi="Arial"/>
                <w:sz w:val="12"/>
                <w:szCs w:val="12"/>
                <w:color w:val="3C3C3B"/>
              </w:rPr>
              <w:t>Trade payables</w:t>
            </w:r>
          </w:p>
        </w:tc>
        <w:tc>
          <w:tcPr>
            <w:tcW w:w="1120" w:type="dxa"/>
            <w:vAlign w:val="bottom"/>
          </w:tcPr>
          <w:p>
            <w:pPr>
              <w:jc w:val="right"/>
              <w:ind w:right="18"/>
              <w:spacing w:after="0"/>
              <w:rPr>
                <w:sz w:val="20"/>
                <w:szCs w:val="20"/>
                <w:color w:val="auto"/>
              </w:rPr>
            </w:pPr>
            <w:r>
              <w:rPr>
                <w:rFonts w:ascii="Arial" w:cs="Arial" w:eastAsia="Arial" w:hAnsi="Arial"/>
                <w:sz w:val="12"/>
                <w:szCs w:val="12"/>
                <w:color w:val="auto"/>
              </w:rPr>
              <w:t>13,437</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18"/>
              <w:spacing w:after="0"/>
              <w:rPr>
                <w:sz w:val="20"/>
                <w:szCs w:val="20"/>
                <w:color w:val="auto"/>
              </w:rPr>
            </w:pPr>
            <w:r>
              <w:rPr>
                <w:rFonts w:ascii="Arial" w:cs="Arial" w:eastAsia="Arial" w:hAnsi="Arial"/>
                <w:sz w:val="12"/>
                <w:szCs w:val="12"/>
                <w:color w:val="auto"/>
              </w:rPr>
              <w:t>13,437</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gridSpan w:val="2"/>
          </w:tcPr>
          <w:p>
            <w:pPr>
              <w:jc w:val="right"/>
              <w:ind w:right="458"/>
              <w:spacing w:after="0"/>
              <w:rPr>
                <w:sz w:val="20"/>
                <w:szCs w:val="20"/>
                <w:color w:val="auto"/>
              </w:rPr>
            </w:pPr>
            <w:r>
              <w:rPr>
                <w:rFonts w:ascii="Arial" w:cs="Arial" w:eastAsia="Arial" w:hAnsi="Arial"/>
                <w:sz w:val="12"/>
                <w:szCs w:val="12"/>
                <w:color w:val="auto"/>
              </w:rPr>
              <w:t>13,437</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6"/>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2300" w:type="dxa"/>
            <w:vAlign w:val="bottom"/>
            <w:tcBorders>
              <w:bottom w:val="single" w:sz="8" w:color="FDF5E7"/>
            </w:tcBorders>
            <w:gridSpan w:val="3"/>
            <w:shd w:val="clear" w:color="auto" w:fill="FDF5E7"/>
          </w:tcPr>
          <w:p>
            <w:pPr>
              <w:ind w:left="20"/>
              <w:spacing w:after="0"/>
              <w:rPr>
                <w:sz w:val="20"/>
                <w:szCs w:val="20"/>
                <w:color w:val="auto"/>
              </w:rPr>
            </w:pPr>
            <w:r>
              <w:rPr>
                <w:rFonts w:ascii="Arial" w:cs="Arial" w:eastAsia="Arial" w:hAnsi="Arial"/>
                <w:sz w:val="12"/>
                <w:szCs w:val="12"/>
                <w:color w:val="3C3C3B"/>
              </w:rPr>
              <w:t>Other payables</w:t>
            </w:r>
          </w:p>
        </w:tc>
        <w:tc>
          <w:tcPr>
            <w:tcW w:w="1120" w:type="dxa"/>
            <w:vAlign w:val="bottom"/>
            <w:tcBorders>
              <w:bottom w:val="single" w:sz="8" w:color="FDF5E7"/>
            </w:tcBorders>
            <w:shd w:val="clear" w:color="auto" w:fill="FDF5E7"/>
          </w:tcPr>
          <w:p>
            <w:pPr>
              <w:jc w:val="right"/>
              <w:ind w:right="18"/>
              <w:spacing w:after="0"/>
              <w:rPr>
                <w:sz w:val="20"/>
                <w:szCs w:val="20"/>
                <w:color w:val="auto"/>
              </w:rPr>
            </w:pPr>
            <w:r>
              <w:rPr>
                <w:rFonts w:ascii="Arial" w:cs="Arial" w:eastAsia="Arial" w:hAnsi="Arial"/>
                <w:sz w:val="12"/>
                <w:szCs w:val="12"/>
                <w:color w:val="auto"/>
              </w:rPr>
              <w:t>289</w:t>
            </w:r>
          </w:p>
        </w:tc>
        <w:tc>
          <w:tcPr>
            <w:tcW w:w="100" w:type="dxa"/>
            <w:vAlign w:val="bottom"/>
            <w:tcBorders>
              <w:bottom w:val="single" w:sz="8" w:color="FDF5E7"/>
            </w:tcBorders>
            <w:shd w:val="clear" w:color="auto" w:fill="FDF5E7"/>
          </w:tcPr>
          <w:p>
            <w:pPr>
              <w:spacing w:after="0"/>
              <w:rPr>
                <w:sz w:val="17"/>
                <w:szCs w:val="17"/>
                <w:color w:val="auto"/>
              </w:rPr>
            </w:pPr>
          </w:p>
        </w:tc>
        <w:tc>
          <w:tcPr>
            <w:tcW w:w="1280" w:type="dxa"/>
            <w:vAlign w:val="bottom"/>
            <w:tcBorders>
              <w:bottom w:val="single" w:sz="8" w:color="FDF5E7"/>
            </w:tcBorders>
            <w:shd w:val="clear" w:color="auto" w:fill="FDF5E7"/>
          </w:tcPr>
          <w:p>
            <w:pPr>
              <w:spacing w:after="0"/>
              <w:rPr>
                <w:sz w:val="17"/>
                <w:szCs w:val="17"/>
                <w:color w:val="auto"/>
              </w:rPr>
            </w:pPr>
          </w:p>
        </w:tc>
        <w:tc>
          <w:tcPr>
            <w:tcW w:w="100" w:type="dxa"/>
            <w:vAlign w:val="bottom"/>
            <w:tcBorders>
              <w:bottom w:val="single" w:sz="8" w:color="FDF5E7"/>
            </w:tcBorders>
            <w:shd w:val="clear" w:color="auto" w:fill="FDF5E7"/>
          </w:tcPr>
          <w:p>
            <w:pPr>
              <w:spacing w:after="0"/>
              <w:rPr>
                <w:sz w:val="17"/>
                <w:szCs w:val="17"/>
                <w:color w:val="auto"/>
              </w:rPr>
            </w:pPr>
          </w:p>
        </w:tc>
        <w:tc>
          <w:tcPr>
            <w:tcW w:w="1200" w:type="dxa"/>
            <w:vAlign w:val="bottom"/>
            <w:tcBorders>
              <w:bottom w:val="single" w:sz="8" w:color="FDF5E7"/>
            </w:tcBorders>
            <w:shd w:val="clear" w:color="auto" w:fill="FDF5E7"/>
          </w:tcPr>
          <w:p>
            <w:pPr>
              <w:spacing w:after="0"/>
              <w:rPr>
                <w:sz w:val="17"/>
                <w:szCs w:val="17"/>
                <w:color w:val="auto"/>
              </w:rPr>
            </w:pPr>
          </w:p>
        </w:tc>
        <w:tc>
          <w:tcPr>
            <w:tcW w:w="100" w:type="dxa"/>
            <w:vAlign w:val="bottom"/>
            <w:tcBorders>
              <w:bottom w:val="single" w:sz="8" w:color="FDF5E7"/>
            </w:tcBorders>
            <w:shd w:val="clear" w:color="auto" w:fill="FDF5E7"/>
          </w:tcPr>
          <w:p>
            <w:pPr>
              <w:spacing w:after="0"/>
              <w:rPr>
                <w:sz w:val="17"/>
                <w:szCs w:val="17"/>
                <w:color w:val="auto"/>
              </w:rPr>
            </w:pPr>
          </w:p>
        </w:tc>
        <w:tc>
          <w:tcPr>
            <w:tcW w:w="1020" w:type="dxa"/>
            <w:vAlign w:val="bottom"/>
            <w:tcBorders>
              <w:bottom w:val="single" w:sz="8" w:color="FDF5E7"/>
              <w:right w:val="single" w:sz="8" w:color="FDF5E7"/>
            </w:tcBorders>
            <w:shd w:val="clear" w:color="auto" w:fill="FDF5E7"/>
          </w:tcPr>
          <w:p>
            <w:pPr>
              <w:spacing w:after="0"/>
              <w:rPr>
                <w:sz w:val="17"/>
                <w:szCs w:val="17"/>
                <w:color w:val="auto"/>
              </w:rPr>
            </w:pPr>
          </w:p>
        </w:tc>
        <w:tc>
          <w:tcPr>
            <w:tcW w:w="620" w:type="dxa"/>
            <w:vAlign w:val="bottom"/>
            <w:tcBorders>
              <w:bottom w:val="single" w:sz="8" w:color="FDF5E7"/>
              <w:right w:val="single" w:sz="8" w:color="auto"/>
            </w:tcBorders>
            <w:gridSpan w:val="2"/>
            <w:shd w:val="clear" w:color="auto" w:fill="FDF5E7"/>
          </w:tcPr>
          <w:p>
            <w:pPr>
              <w:jc w:val="right"/>
              <w:ind w:right="18"/>
              <w:spacing w:after="0"/>
              <w:rPr>
                <w:sz w:val="20"/>
                <w:szCs w:val="20"/>
                <w:color w:val="auto"/>
              </w:rPr>
            </w:pPr>
            <w:r>
              <w:rPr>
                <w:rFonts w:ascii="Arial" w:cs="Arial" w:eastAsia="Arial" w:hAnsi="Arial"/>
                <w:sz w:val="12"/>
                <w:szCs w:val="12"/>
                <w:color w:val="auto"/>
              </w:rPr>
              <w:t>289</w:t>
            </w:r>
          </w:p>
        </w:tc>
        <w:tc>
          <w:tcPr>
            <w:tcW w:w="460" w:type="dxa"/>
            <w:vAlign w:val="bottom"/>
            <w:tcBorders>
              <w:bottom w:val="single" w:sz="8" w:color="FDF5E7"/>
            </w:tcBorders>
            <w:shd w:val="clear" w:color="auto" w:fill="FDF5E7"/>
          </w:tcPr>
          <w:p>
            <w:pPr>
              <w:spacing w:after="0"/>
              <w:rPr>
                <w:sz w:val="17"/>
                <w:szCs w:val="17"/>
                <w:color w:val="auto"/>
              </w:rPr>
            </w:pPr>
          </w:p>
        </w:tc>
        <w:tc>
          <w:tcPr>
            <w:tcW w:w="120" w:type="dxa"/>
            <w:vAlign w:val="bottom"/>
            <w:tcBorders>
              <w:bottom w:val="single" w:sz="8" w:color="FDF5E7"/>
              <w:right w:val="single" w:sz="8" w:color="FDF5E7"/>
            </w:tcBorders>
            <w:shd w:val="clear" w:color="auto" w:fill="FDF5E7"/>
          </w:tcPr>
          <w:p>
            <w:pPr>
              <w:spacing w:after="0"/>
              <w:rPr>
                <w:sz w:val="17"/>
                <w:szCs w:val="17"/>
                <w:color w:val="auto"/>
              </w:rPr>
            </w:pPr>
          </w:p>
        </w:tc>
        <w:tc>
          <w:tcPr>
            <w:tcW w:w="880" w:type="dxa"/>
            <w:vAlign w:val="bottom"/>
            <w:tcBorders>
              <w:bottom w:val="single" w:sz="8" w:color="FDF5E7"/>
            </w:tcBorders>
            <w:shd w:val="clear" w:color="auto" w:fill="FDF5E7"/>
          </w:tcPr>
          <w:p>
            <w:pPr>
              <w:spacing w:after="0"/>
              <w:rPr>
                <w:sz w:val="17"/>
                <w:szCs w:val="17"/>
                <w:color w:val="auto"/>
              </w:rPr>
            </w:pPr>
          </w:p>
        </w:tc>
        <w:tc>
          <w:tcPr>
            <w:tcW w:w="1200" w:type="dxa"/>
            <w:vAlign w:val="bottom"/>
            <w:tcBorders>
              <w:bottom w:val="single" w:sz="8" w:color="FDF5E7"/>
            </w:tcBorders>
            <w:gridSpan w:val="2"/>
            <w:shd w:val="clear" w:color="auto" w:fill="FDF5E7"/>
          </w:tcPr>
          <w:p>
            <w:pPr>
              <w:jc w:val="right"/>
              <w:ind w:right="458"/>
              <w:spacing w:after="0"/>
              <w:rPr>
                <w:sz w:val="20"/>
                <w:szCs w:val="20"/>
                <w:color w:val="auto"/>
              </w:rPr>
            </w:pPr>
            <w:r>
              <w:rPr>
                <w:rFonts w:ascii="Arial" w:cs="Arial" w:eastAsia="Arial" w:hAnsi="Arial"/>
                <w:sz w:val="12"/>
                <w:szCs w:val="12"/>
                <w:color w:val="auto"/>
              </w:rPr>
              <w:t>289</w:t>
            </w:r>
          </w:p>
        </w:tc>
        <w:tc>
          <w:tcPr>
            <w:tcW w:w="660" w:type="dxa"/>
            <w:vAlign w:val="bottom"/>
            <w:tcBorders>
              <w:bottom w:val="single" w:sz="8" w:color="FDF5E7"/>
            </w:tcBorders>
            <w:shd w:val="clear" w:color="auto" w:fill="FDF5E7"/>
          </w:tcPr>
          <w:p>
            <w:pPr>
              <w:spacing w:after="0"/>
              <w:rPr>
                <w:sz w:val="17"/>
                <w:szCs w:val="17"/>
                <w:color w:val="auto"/>
              </w:rPr>
            </w:pPr>
          </w:p>
        </w:tc>
        <w:tc>
          <w:tcPr>
            <w:tcW w:w="60" w:type="dxa"/>
            <w:vAlign w:val="bottom"/>
          </w:tcPr>
          <w:p>
            <w:pPr>
              <w:spacing w:after="0"/>
              <w:rPr>
                <w:sz w:val="17"/>
                <w:szCs w:val="17"/>
                <w:color w:val="auto"/>
              </w:rPr>
            </w:pPr>
          </w:p>
        </w:tc>
      </w:tr>
      <w:tr>
        <w:trPr>
          <w:trHeight w:val="172"/>
        </w:trPr>
        <w:tc>
          <w:tcPr>
            <w:tcW w:w="2300" w:type="dxa"/>
            <w:vAlign w:val="bottom"/>
            <w:tcBorders>
              <w:top w:val="single" w:sz="8" w:color="auto"/>
            </w:tcBorders>
            <w:gridSpan w:val="3"/>
          </w:tcPr>
          <w:p>
            <w:pPr>
              <w:ind w:left="20"/>
              <w:spacing w:after="0"/>
              <w:rPr>
                <w:sz w:val="20"/>
                <w:szCs w:val="20"/>
                <w:color w:val="auto"/>
              </w:rPr>
            </w:pPr>
            <w:r>
              <w:rPr>
                <w:rFonts w:ascii="Arial" w:cs="Arial" w:eastAsia="Arial" w:hAnsi="Arial"/>
                <w:sz w:val="12"/>
                <w:szCs w:val="12"/>
                <w:b w:val="1"/>
                <w:bCs w:val="1"/>
                <w:color w:val="3C3C3B"/>
              </w:rPr>
              <w:t>TOTAL - Liabilities</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75,859</w:t>
            </w: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298"/>
              <w:spacing w:after="0"/>
              <w:rPr>
                <w:sz w:val="20"/>
                <w:szCs w:val="20"/>
                <w:color w:val="auto"/>
              </w:rPr>
            </w:pPr>
            <w:r>
              <w:rPr>
                <w:rFonts w:ascii="Arial" w:cs="Arial" w:eastAsia="Arial" w:hAnsi="Arial"/>
                <w:sz w:val="12"/>
                <w:szCs w:val="12"/>
                <w:b w:val="1"/>
                <w:bCs w:val="1"/>
                <w:color w:val="auto"/>
              </w:rPr>
              <w:t>—</w:t>
            </w: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498"/>
              <w:spacing w:after="0"/>
              <w:rPr>
                <w:sz w:val="20"/>
                <w:szCs w:val="20"/>
                <w:color w:val="auto"/>
              </w:rPr>
            </w:pPr>
            <w:r>
              <w:rPr>
                <w:rFonts w:ascii="Arial" w:cs="Arial" w:eastAsia="Arial" w:hAnsi="Arial"/>
                <w:sz w:val="12"/>
                <w:szCs w:val="12"/>
                <w:b w:val="1"/>
                <w:bCs w:val="1"/>
                <w:color w:val="auto"/>
              </w:rPr>
              <w:t>—</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518"/>
              <w:spacing w:after="0"/>
              <w:rPr>
                <w:sz w:val="20"/>
                <w:szCs w:val="20"/>
                <w:color w:val="auto"/>
              </w:rPr>
            </w:pPr>
            <w:r>
              <w:rPr>
                <w:rFonts w:ascii="Arial" w:cs="Arial" w:eastAsia="Arial" w:hAnsi="Arial"/>
                <w:sz w:val="12"/>
                <w:szCs w:val="12"/>
                <w:b w:val="1"/>
                <w:bCs w:val="1"/>
                <w:color w:val="auto"/>
              </w:rPr>
              <w:t>—</w:t>
            </w:r>
          </w:p>
        </w:tc>
        <w:tc>
          <w:tcPr>
            <w:tcW w:w="620" w:type="dxa"/>
            <w:vAlign w:val="bottom"/>
            <w:tcBorders>
              <w:top w:val="single" w:sz="8" w:color="auto"/>
              <w:right w:val="single" w:sz="8" w:color="auto"/>
            </w:tcBorders>
            <w:gridSpan w:val="2"/>
          </w:tcPr>
          <w:p>
            <w:pPr>
              <w:jc w:val="right"/>
              <w:ind w:right="18"/>
              <w:spacing w:after="0"/>
              <w:rPr>
                <w:sz w:val="20"/>
                <w:szCs w:val="20"/>
                <w:color w:val="auto"/>
              </w:rPr>
            </w:pPr>
            <w:r>
              <w:rPr>
                <w:rFonts w:ascii="Arial" w:cs="Arial" w:eastAsia="Arial" w:hAnsi="Arial"/>
                <w:sz w:val="12"/>
                <w:szCs w:val="12"/>
                <w:b w:val="1"/>
                <w:bCs w:val="1"/>
                <w:color w:val="auto"/>
              </w:rPr>
              <w:t>75,859</w:t>
            </w:r>
          </w:p>
        </w:tc>
        <w:tc>
          <w:tcPr>
            <w:tcW w:w="4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58"/>
              <w:spacing w:after="0"/>
              <w:rPr>
                <w:sz w:val="20"/>
                <w:szCs w:val="20"/>
                <w:color w:val="auto"/>
              </w:rPr>
            </w:pPr>
            <w:r>
              <w:rPr>
                <w:rFonts w:ascii="Arial" w:cs="Arial" w:eastAsia="Arial" w:hAnsi="Arial"/>
                <w:sz w:val="12"/>
                <w:szCs w:val="12"/>
                <w:b w:val="1"/>
                <w:bCs w:val="1"/>
                <w:color w:val="auto"/>
              </w:rPr>
              <w:t>—</w:t>
            </w:r>
          </w:p>
        </w:tc>
        <w:tc>
          <w:tcPr>
            <w:tcW w:w="1200" w:type="dxa"/>
            <w:vAlign w:val="bottom"/>
            <w:tcBorders>
              <w:top w:val="single" w:sz="8" w:color="auto"/>
            </w:tcBorders>
            <w:gridSpan w:val="2"/>
          </w:tcPr>
          <w:p>
            <w:pPr>
              <w:jc w:val="right"/>
              <w:ind w:right="458"/>
              <w:spacing w:after="0"/>
              <w:rPr>
                <w:sz w:val="20"/>
                <w:szCs w:val="20"/>
                <w:color w:val="auto"/>
              </w:rPr>
            </w:pPr>
            <w:r>
              <w:rPr>
                <w:rFonts w:ascii="Arial" w:cs="Arial" w:eastAsia="Arial" w:hAnsi="Arial"/>
                <w:sz w:val="12"/>
                <w:szCs w:val="12"/>
                <w:b w:val="1"/>
                <w:bCs w:val="1"/>
                <w:color w:val="auto"/>
              </w:rPr>
              <w:t>77,607</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4"/>
                <w:szCs w:val="14"/>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69"/>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E99D25"/>
              </w:rPr>
              <w:t>As of 30/06/2025</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72"/>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gridSpan w:val="2"/>
          </w:tcPr>
          <w:p>
            <w:pPr>
              <w:jc w:val="right"/>
              <w:ind w:right="318"/>
              <w:spacing w:after="0"/>
              <w:rPr>
                <w:sz w:val="20"/>
                <w:szCs w:val="20"/>
                <w:color w:val="auto"/>
              </w:rPr>
            </w:pPr>
            <w:r>
              <w:rPr>
                <w:rFonts w:ascii="Arial" w:cs="Arial" w:eastAsia="Arial" w:hAnsi="Arial"/>
                <w:sz w:val="12"/>
                <w:szCs w:val="12"/>
                <w:b w:val="1"/>
                <w:bCs w:val="1"/>
                <w:color w:val="3C3C3B"/>
              </w:rPr>
              <w:t>Carrying value</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38"/>
              <w:spacing w:after="0"/>
              <w:rPr>
                <w:sz w:val="20"/>
                <w:szCs w:val="20"/>
                <w:color w:val="auto"/>
              </w:rPr>
            </w:pPr>
            <w:r>
              <w:rPr>
                <w:rFonts w:ascii="Arial" w:cs="Arial" w:eastAsia="Arial" w:hAnsi="Arial"/>
                <w:sz w:val="12"/>
                <w:szCs w:val="12"/>
                <w:b w:val="1"/>
                <w:bCs w:val="1"/>
                <w:color w:val="3C3C3B"/>
              </w:rPr>
              <w:t>Fair value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r>
      <w:tr>
        <w:trPr>
          <w:trHeight w:val="172"/>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3C3C3B"/>
              </w:rPr>
              <w:t>As per</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b w:val="1"/>
                <w:bCs w:val="1"/>
                <w:color w:val="3C3C3B"/>
              </w:rPr>
              <w:t>Fair value</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3C3C3B"/>
              </w:rPr>
              <w:t>Fair value</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3C3C3B"/>
              </w:rPr>
              <w:t>Assets at</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3C3C3B"/>
              </w:rPr>
              <w:t>Debt at</w:t>
            </w:r>
          </w:p>
        </w:tc>
        <w:tc>
          <w:tcPr>
            <w:tcW w:w="120" w:type="dxa"/>
            <w:vAlign w:val="bottom"/>
            <w:tcBorders>
              <w:right w:val="single" w:sz="8" w:color="auto"/>
            </w:tcBorders>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3C3C3B"/>
              </w:rPr>
              <w:t>Level 1</w:t>
            </w:r>
          </w:p>
        </w:tc>
        <w:tc>
          <w:tcPr>
            <w:tcW w:w="120" w:type="dxa"/>
            <w:vAlign w:val="bottom"/>
          </w:tcPr>
          <w:p>
            <w:pPr>
              <w:spacing w:after="0"/>
              <w:rPr>
                <w:sz w:val="14"/>
                <w:szCs w:val="14"/>
                <w:color w:val="auto"/>
              </w:rPr>
            </w:pPr>
          </w:p>
        </w:tc>
        <w:tc>
          <w:tcPr>
            <w:tcW w:w="1080" w:type="dxa"/>
            <w:vAlign w:val="bottom"/>
          </w:tcPr>
          <w:p>
            <w:pPr>
              <w:jc w:val="right"/>
              <w:ind w:right="138"/>
              <w:spacing w:after="0"/>
              <w:rPr>
                <w:sz w:val="20"/>
                <w:szCs w:val="20"/>
                <w:color w:val="auto"/>
              </w:rPr>
            </w:pPr>
            <w:r>
              <w:rPr>
                <w:rFonts w:ascii="Arial" w:cs="Arial" w:eastAsia="Arial" w:hAnsi="Arial"/>
                <w:sz w:val="12"/>
                <w:szCs w:val="12"/>
                <w:b w:val="1"/>
                <w:bCs w:val="1"/>
                <w:color w:val="3C3C3B"/>
              </w:rPr>
              <w:t>Level 2</w:t>
            </w:r>
          </w:p>
        </w:tc>
        <w:tc>
          <w:tcPr>
            <w:tcW w:w="720" w:type="dxa"/>
            <w:vAlign w:val="bottom"/>
            <w:gridSpan w:val="2"/>
          </w:tcPr>
          <w:p>
            <w:pPr>
              <w:jc w:val="right"/>
              <w:spacing w:after="0"/>
              <w:rPr>
                <w:sz w:val="20"/>
                <w:szCs w:val="20"/>
                <w:color w:val="auto"/>
              </w:rPr>
            </w:pPr>
            <w:r>
              <w:rPr>
                <w:rFonts w:ascii="Arial" w:cs="Arial" w:eastAsia="Arial" w:hAnsi="Arial"/>
                <w:sz w:val="12"/>
                <w:szCs w:val="12"/>
                <w:b w:val="1"/>
                <w:bCs w:val="1"/>
                <w:color w:val="3C3C3B"/>
              </w:rPr>
              <w:t>Level 3</w:t>
            </w:r>
          </w:p>
        </w:tc>
      </w:tr>
      <w:tr>
        <w:trPr>
          <w:trHeight w:val="199"/>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3C3C3B"/>
              </w:rPr>
              <w:t>statement of</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2"/>
                <w:szCs w:val="12"/>
                <w:b w:val="1"/>
                <w:bCs w:val="1"/>
                <w:color w:val="3C3C3B"/>
              </w:rPr>
              <w:t>through</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3C3C3B"/>
              </w:rPr>
              <w:t>through OCI</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3C3C3B"/>
              </w:rPr>
              <w:t>amortized</w:t>
            </w:r>
          </w:p>
        </w:tc>
        <w:tc>
          <w:tcPr>
            <w:tcW w:w="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b w:val="1"/>
                <w:bCs w:val="1"/>
                <w:color w:val="3C3C3B"/>
              </w:rPr>
              <w:t>amortized</w:t>
            </w:r>
          </w:p>
        </w:tc>
        <w:tc>
          <w:tcPr>
            <w:tcW w:w="1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3C3C3B"/>
              </w:rPr>
              <w:t>financial</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2"/>
                <w:szCs w:val="12"/>
                <w:b w:val="1"/>
                <w:bCs w:val="1"/>
                <w:color w:val="3C3C3B"/>
              </w:rPr>
              <w:t>profit &amp; loss</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3C3C3B"/>
              </w:rPr>
              <w:t>cost</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3C3C3B"/>
              </w:rPr>
              <w:t>cost</w:t>
            </w:r>
          </w:p>
        </w:tc>
        <w:tc>
          <w:tcPr>
            <w:tcW w:w="1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2300" w:type="dxa"/>
            <w:vAlign w:val="bottom"/>
            <w:gridSpan w:val="3"/>
          </w:tcPr>
          <w:p>
            <w:pPr>
              <w:ind w:left="20"/>
              <w:spacing w:after="0"/>
              <w:rPr>
                <w:sz w:val="20"/>
                <w:szCs w:val="20"/>
                <w:color w:val="auto"/>
              </w:rPr>
            </w:pPr>
            <w:r>
              <w:rPr>
                <w:rFonts w:ascii="Arial" w:cs="Arial" w:eastAsia="Arial" w:hAnsi="Arial"/>
                <w:sz w:val="12"/>
                <w:szCs w:val="12"/>
                <w:i w:val="1"/>
                <w:iCs w:val="1"/>
                <w:color w:val="3C3C3B"/>
              </w:rPr>
              <w:t>(in € thousands)</w:t>
            </w:r>
          </w:p>
        </w:tc>
        <w:tc>
          <w:tcPr>
            <w:tcW w:w="1120" w:type="dxa"/>
            <w:vAlign w:val="bottom"/>
          </w:tcPr>
          <w:p>
            <w:pPr>
              <w:jc w:val="right"/>
              <w:spacing w:after="0"/>
              <w:rPr>
                <w:sz w:val="20"/>
                <w:szCs w:val="20"/>
                <w:color w:val="auto"/>
              </w:rPr>
            </w:pPr>
            <w:r>
              <w:rPr>
                <w:rFonts w:ascii="Arial" w:cs="Arial" w:eastAsia="Arial" w:hAnsi="Arial"/>
                <w:sz w:val="12"/>
                <w:szCs w:val="12"/>
                <w:b w:val="1"/>
                <w:bCs w:val="1"/>
                <w:color w:val="3C3C3B"/>
              </w:rPr>
              <w:t>position</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300" w:type="dxa"/>
            <w:vAlign w:val="bottom"/>
            <w:tcBorders>
              <w:bottom w:val="single" w:sz="8" w:color="auto"/>
            </w:tcBorders>
            <w:gridSpan w:val="3"/>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72"/>
        </w:trPr>
        <w:tc>
          <w:tcPr>
            <w:tcW w:w="2300" w:type="dxa"/>
            <w:vAlign w:val="bottom"/>
            <w:gridSpan w:val="3"/>
          </w:tcPr>
          <w:p>
            <w:pPr>
              <w:ind w:left="20"/>
              <w:spacing w:after="0"/>
              <w:rPr>
                <w:sz w:val="20"/>
                <w:szCs w:val="20"/>
                <w:color w:val="auto"/>
              </w:rPr>
            </w:pPr>
            <w:r>
              <w:rPr>
                <w:rFonts w:ascii="Arial" w:cs="Arial" w:eastAsia="Arial" w:hAnsi="Arial"/>
                <w:sz w:val="12"/>
                <w:szCs w:val="12"/>
                <w:b w:val="1"/>
                <w:bCs w:val="1"/>
                <w:color w:val="3C3C3B"/>
              </w:rPr>
              <w:t>Assets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2060" w:type="dxa"/>
            <w:vAlign w:val="bottom"/>
            <w:tcBorders>
              <w:bottom w:val="single" w:sz="8" w:color="E99D25"/>
            </w:tcBorders>
          </w:tcPr>
          <w:p>
            <w:pPr>
              <w:spacing w:after="0" w:line="20" w:lineRule="exact"/>
              <w:rPr>
                <w:sz w:val="1"/>
                <w:szCs w:val="1"/>
                <w:color w:val="auto"/>
              </w:rPr>
            </w:pPr>
          </w:p>
        </w:tc>
        <w:tc>
          <w:tcPr>
            <w:tcW w:w="100" w:type="dxa"/>
            <w:vAlign w:val="bottom"/>
            <w:tcBorders>
              <w:bottom w:val="single" w:sz="8" w:color="E99D25"/>
            </w:tcBorders>
          </w:tcPr>
          <w:p>
            <w:pPr>
              <w:spacing w:after="0" w:line="20" w:lineRule="exact"/>
              <w:rPr>
                <w:sz w:val="1"/>
                <w:szCs w:val="1"/>
                <w:color w:val="auto"/>
              </w:rPr>
            </w:pPr>
          </w:p>
        </w:tc>
        <w:tc>
          <w:tcPr>
            <w:tcW w:w="140" w:type="dxa"/>
            <w:vAlign w:val="bottom"/>
            <w:tcBorders>
              <w:bottom w:val="single" w:sz="8" w:color="E99D25"/>
            </w:tcBorders>
          </w:tcPr>
          <w:p>
            <w:pPr>
              <w:spacing w:after="0" w:line="20" w:lineRule="exact"/>
              <w:rPr>
                <w:sz w:val="1"/>
                <w:szCs w:val="1"/>
                <w:color w:val="auto"/>
              </w:rPr>
            </w:pPr>
          </w:p>
        </w:tc>
        <w:tc>
          <w:tcPr>
            <w:tcW w:w="1120" w:type="dxa"/>
            <w:vAlign w:val="bottom"/>
            <w:tcBorders>
              <w:bottom w:val="single" w:sz="8" w:color="E99D25"/>
            </w:tcBorders>
          </w:tcPr>
          <w:p>
            <w:pPr>
              <w:spacing w:after="0" w:line="20" w:lineRule="exact"/>
              <w:rPr>
                <w:sz w:val="1"/>
                <w:szCs w:val="1"/>
                <w:color w:val="auto"/>
              </w:rPr>
            </w:pPr>
          </w:p>
        </w:tc>
        <w:tc>
          <w:tcPr>
            <w:tcW w:w="100" w:type="dxa"/>
            <w:vAlign w:val="bottom"/>
            <w:tcBorders>
              <w:bottom w:val="single" w:sz="8" w:color="E99D25"/>
            </w:tcBorders>
          </w:tcPr>
          <w:p>
            <w:pPr>
              <w:spacing w:after="0" w:line="20" w:lineRule="exact"/>
              <w:rPr>
                <w:sz w:val="1"/>
                <w:szCs w:val="1"/>
                <w:color w:val="auto"/>
              </w:rPr>
            </w:pPr>
          </w:p>
        </w:tc>
        <w:tc>
          <w:tcPr>
            <w:tcW w:w="1280" w:type="dxa"/>
            <w:vAlign w:val="bottom"/>
            <w:tcBorders>
              <w:bottom w:val="single" w:sz="8" w:color="E99D25"/>
            </w:tcBorders>
          </w:tcPr>
          <w:p>
            <w:pPr>
              <w:spacing w:after="0" w:line="20" w:lineRule="exact"/>
              <w:rPr>
                <w:sz w:val="1"/>
                <w:szCs w:val="1"/>
                <w:color w:val="auto"/>
              </w:rPr>
            </w:pPr>
          </w:p>
        </w:tc>
        <w:tc>
          <w:tcPr>
            <w:tcW w:w="100" w:type="dxa"/>
            <w:vAlign w:val="bottom"/>
            <w:tcBorders>
              <w:bottom w:val="single" w:sz="8" w:color="E99D25"/>
            </w:tcBorders>
          </w:tcPr>
          <w:p>
            <w:pPr>
              <w:spacing w:after="0" w:line="20" w:lineRule="exact"/>
              <w:rPr>
                <w:sz w:val="1"/>
                <w:szCs w:val="1"/>
                <w:color w:val="auto"/>
              </w:rPr>
            </w:pPr>
          </w:p>
        </w:tc>
        <w:tc>
          <w:tcPr>
            <w:tcW w:w="1200" w:type="dxa"/>
            <w:vAlign w:val="bottom"/>
            <w:tcBorders>
              <w:bottom w:val="single" w:sz="8" w:color="E99D25"/>
            </w:tcBorders>
          </w:tcPr>
          <w:p>
            <w:pPr>
              <w:spacing w:after="0" w:line="20" w:lineRule="exact"/>
              <w:rPr>
                <w:sz w:val="1"/>
                <w:szCs w:val="1"/>
                <w:color w:val="auto"/>
              </w:rPr>
            </w:pPr>
          </w:p>
        </w:tc>
        <w:tc>
          <w:tcPr>
            <w:tcW w:w="100" w:type="dxa"/>
            <w:vAlign w:val="bottom"/>
            <w:tcBorders>
              <w:bottom w:val="single" w:sz="8" w:color="E99D25"/>
            </w:tcBorders>
          </w:tcPr>
          <w:p>
            <w:pPr>
              <w:spacing w:after="0" w:line="20" w:lineRule="exact"/>
              <w:rPr>
                <w:sz w:val="1"/>
                <w:szCs w:val="1"/>
                <w:color w:val="auto"/>
              </w:rPr>
            </w:pPr>
          </w:p>
        </w:tc>
        <w:tc>
          <w:tcPr>
            <w:tcW w:w="1020" w:type="dxa"/>
            <w:vAlign w:val="bottom"/>
            <w:tcBorders>
              <w:bottom w:val="single" w:sz="8" w:color="E99D25"/>
            </w:tcBorders>
          </w:tcPr>
          <w:p>
            <w:pPr>
              <w:spacing w:after="0" w:line="20" w:lineRule="exact"/>
              <w:rPr>
                <w:sz w:val="1"/>
                <w:szCs w:val="1"/>
                <w:color w:val="auto"/>
              </w:rPr>
            </w:pPr>
          </w:p>
        </w:tc>
        <w:tc>
          <w:tcPr>
            <w:tcW w:w="80" w:type="dxa"/>
            <w:vAlign w:val="bottom"/>
            <w:tcBorders>
              <w:bottom w:val="single" w:sz="8" w:color="E99D25"/>
            </w:tcBorders>
          </w:tcPr>
          <w:p>
            <w:pPr>
              <w:spacing w:after="0" w:line="20" w:lineRule="exact"/>
              <w:rPr>
                <w:sz w:val="1"/>
                <w:szCs w:val="1"/>
                <w:color w:val="auto"/>
              </w:rPr>
            </w:pPr>
          </w:p>
        </w:tc>
        <w:tc>
          <w:tcPr>
            <w:tcW w:w="540" w:type="dxa"/>
            <w:vAlign w:val="bottom"/>
            <w:tcBorders>
              <w:bottom w:val="single" w:sz="8" w:color="E99D25"/>
            </w:tcBorders>
          </w:tcPr>
          <w:p>
            <w:pPr>
              <w:spacing w:after="0" w:line="20" w:lineRule="exact"/>
              <w:rPr>
                <w:sz w:val="1"/>
                <w:szCs w:val="1"/>
                <w:color w:val="auto"/>
              </w:rPr>
            </w:pPr>
          </w:p>
        </w:tc>
        <w:tc>
          <w:tcPr>
            <w:tcW w:w="460" w:type="dxa"/>
            <w:vAlign w:val="bottom"/>
            <w:tcBorders>
              <w:bottom w:val="single" w:sz="8" w:color="E99D25"/>
            </w:tcBorders>
          </w:tcPr>
          <w:p>
            <w:pPr>
              <w:spacing w:after="0" w:line="20" w:lineRule="exact"/>
              <w:rPr>
                <w:sz w:val="1"/>
                <w:szCs w:val="1"/>
                <w:color w:val="auto"/>
              </w:rPr>
            </w:pPr>
          </w:p>
        </w:tc>
        <w:tc>
          <w:tcPr>
            <w:tcW w:w="120" w:type="dxa"/>
            <w:vAlign w:val="bottom"/>
            <w:tcBorders>
              <w:bottom w:val="single" w:sz="8" w:color="E99D25"/>
              <w:right w:val="single" w:sz="8" w:color="auto"/>
            </w:tcBorders>
          </w:tcPr>
          <w:p>
            <w:pPr>
              <w:spacing w:after="0" w:line="20" w:lineRule="exact"/>
              <w:rPr>
                <w:sz w:val="1"/>
                <w:szCs w:val="1"/>
                <w:color w:val="auto"/>
              </w:rPr>
            </w:pPr>
          </w:p>
        </w:tc>
        <w:tc>
          <w:tcPr>
            <w:tcW w:w="880" w:type="dxa"/>
            <w:vAlign w:val="bottom"/>
            <w:tcBorders>
              <w:bottom w:val="single" w:sz="8" w:color="E99D25"/>
            </w:tcBorders>
          </w:tcPr>
          <w:p>
            <w:pPr>
              <w:spacing w:after="0" w:line="20" w:lineRule="exact"/>
              <w:rPr>
                <w:sz w:val="1"/>
                <w:szCs w:val="1"/>
                <w:color w:val="auto"/>
              </w:rPr>
            </w:pPr>
          </w:p>
        </w:tc>
        <w:tc>
          <w:tcPr>
            <w:tcW w:w="120" w:type="dxa"/>
            <w:vAlign w:val="bottom"/>
            <w:tcBorders>
              <w:bottom w:val="single" w:sz="8" w:color="E99D25"/>
            </w:tcBorders>
          </w:tcPr>
          <w:p>
            <w:pPr>
              <w:spacing w:after="0" w:line="20" w:lineRule="exact"/>
              <w:rPr>
                <w:sz w:val="1"/>
                <w:szCs w:val="1"/>
                <w:color w:val="auto"/>
              </w:rPr>
            </w:pPr>
          </w:p>
        </w:tc>
        <w:tc>
          <w:tcPr>
            <w:tcW w:w="1080" w:type="dxa"/>
            <w:vAlign w:val="bottom"/>
            <w:tcBorders>
              <w:bottom w:val="single" w:sz="8" w:color="E99D25"/>
            </w:tcBorders>
          </w:tcPr>
          <w:p>
            <w:pPr>
              <w:spacing w:after="0" w:line="20" w:lineRule="exact"/>
              <w:rPr>
                <w:sz w:val="1"/>
                <w:szCs w:val="1"/>
                <w:color w:val="auto"/>
              </w:rPr>
            </w:pPr>
          </w:p>
        </w:tc>
        <w:tc>
          <w:tcPr>
            <w:tcW w:w="720" w:type="dxa"/>
            <w:vAlign w:val="bottom"/>
            <w:tcBorders>
              <w:bottom w:val="single" w:sz="8" w:color="E99D25"/>
            </w:tcBorders>
            <w:gridSpan w:val="2"/>
          </w:tcPr>
          <w:p>
            <w:pPr>
              <w:spacing w:after="0" w:line="20" w:lineRule="exact"/>
              <w:rPr>
                <w:sz w:val="1"/>
                <w:szCs w:val="1"/>
                <w:color w:val="auto"/>
              </w:rPr>
            </w:pPr>
          </w:p>
        </w:tc>
      </w:tr>
      <w:tr>
        <w:trPr>
          <w:trHeight w:val="172"/>
        </w:trPr>
        <w:tc>
          <w:tcPr>
            <w:tcW w:w="2300" w:type="dxa"/>
            <w:vAlign w:val="bottom"/>
            <w:tcBorders>
              <w:bottom w:val="single" w:sz="8" w:color="FDF5E7"/>
            </w:tcBorders>
            <w:gridSpan w:val="3"/>
            <w:shd w:val="clear" w:color="auto" w:fill="FDF5E7"/>
          </w:tcPr>
          <w:p>
            <w:pPr>
              <w:ind w:left="20"/>
              <w:spacing w:after="0"/>
              <w:rPr>
                <w:sz w:val="20"/>
                <w:szCs w:val="20"/>
                <w:color w:val="auto"/>
              </w:rPr>
            </w:pPr>
            <w:r>
              <w:rPr>
                <w:rFonts w:ascii="Arial" w:cs="Arial" w:eastAsia="Arial" w:hAnsi="Arial"/>
                <w:sz w:val="12"/>
                <w:szCs w:val="12"/>
                <w:color w:val="3C3C3B"/>
              </w:rPr>
              <w:t>Equity investments</w:t>
            </w:r>
          </w:p>
        </w:tc>
        <w:tc>
          <w:tcPr>
            <w:tcW w:w="11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1,311</w:t>
            </w:r>
          </w:p>
        </w:tc>
        <w:tc>
          <w:tcPr>
            <w:tcW w:w="100" w:type="dxa"/>
            <w:vAlign w:val="bottom"/>
            <w:tcBorders>
              <w:bottom w:val="single" w:sz="8" w:color="FDF5E7"/>
            </w:tcBorders>
            <w:shd w:val="clear" w:color="auto" w:fill="FDF5E7"/>
          </w:tcPr>
          <w:p>
            <w:pPr>
              <w:spacing w:after="0"/>
              <w:rPr>
                <w:sz w:val="14"/>
                <w:szCs w:val="14"/>
                <w:color w:val="auto"/>
              </w:rPr>
            </w:pPr>
          </w:p>
        </w:tc>
        <w:tc>
          <w:tcPr>
            <w:tcW w:w="1280" w:type="dxa"/>
            <w:vAlign w:val="bottom"/>
            <w:tcBorders>
              <w:bottom w:val="single" w:sz="8" w:color="FDF5E7"/>
            </w:tcBorders>
            <w:shd w:val="clear" w:color="auto" w:fill="FDF5E7"/>
          </w:tcPr>
          <w:p>
            <w:pPr>
              <w:spacing w:after="0"/>
              <w:rPr>
                <w:sz w:val="14"/>
                <w:szCs w:val="14"/>
                <w:color w:val="auto"/>
              </w:rPr>
            </w:pPr>
          </w:p>
        </w:tc>
        <w:tc>
          <w:tcPr>
            <w:tcW w:w="1300" w:type="dxa"/>
            <w:vAlign w:val="bottom"/>
            <w:tcBorders>
              <w:bottom w:val="single" w:sz="8" w:color="FDF5E7"/>
            </w:tcBorders>
            <w:gridSpan w:val="2"/>
            <w:shd w:val="clear" w:color="auto" w:fill="FDF5E7"/>
          </w:tcPr>
          <w:p>
            <w:pPr>
              <w:jc w:val="right"/>
              <w:spacing w:after="0"/>
              <w:rPr>
                <w:sz w:val="20"/>
                <w:szCs w:val="20"/>
                <w:color w:val="auto"/>
              </w:rPr>
            </w:pPr>
            <w:r>
              <w:rPr>
                <w:rFonts w:ascii="Arial" w:cs="Arial" w:eastAsia="Arial" w:hAnsi="Arial"/>
                <w:sz w:val="12"/>
                <w:szCs w:val="12"/>
                <w:color w:val="auto"/>
              </w:rPr>
              <w:t>1,311</w:t>
            </w:r>
          </w:p>
        </w:tc>
        <w:tc>
          <w:tcPr>
            <w:tcW w:w="100" w:type="dxa"/>
            <w:vAlign w:val="bottom"/>
            <w:tcBorders>
              <w:bottom w:val="single" w:sz="8" w:color="FDF5E7"/>
            </w:tcBorders>
            <w:shd w:val="clear" w:color="auto" w:fill="FDF5E7"/>
          </w:tcPr>
          <w:p>
            <w:pPr>
              <w:spacing w:after="0"/>
              <w:rPr>
                <w:sz w:val="14"/>
                <w:szCs w:val="14"/>
                <w:color w:val="auto"/>
              </w:rPr>
            </w:pPr>
          </w:p>
        </w:tc>
        <w:tc>
          <w:tcPr>
            <w:tcW w:w="1020" w:type="dxa"/>
            <w:vAlign w:val="bottom"/>
            <w:tcBorders>
              <w:bottom w:val="single" w:sz="8" w:color="FDF5E7"/>
              <w:right w:val="single" w:sz="8" w:color="FDF5E7"/>
            </w:tcBorders>
            <w:shd w:val="clear" w:color="auto" w:fill="FDF5E7"/>
          </w:tcPr>
          <w:p>
            <w:pPr>
              <w:spacing w:after="0"/>
              <w:rPr>
                <w:sz w:val="14"/>
                <w:szCs w:val="14"/>
                <w:color w:val="auto"/>
              </w:rPr>
            </w:pPr>
          </w:p>
        </w:tc>
        <w:tc>
          <w:tcPr>
            <w:tcW w:w="80" w:type="dxa"/>
            <w:vAlign w:val="bottom"/>
            <w:tcBorders>
              <w:bottom w:val="single" w:sz="8" w:color="FDF5E7"/>
            </w:tcBorders>
            <w:shd w:val="clear" w:color="auto" w:fill="FDF5E7"/>
          </w:tcPr>
          <w:p>
            <w:pPr>
              <w:spacing w:after="0"/>
              <w:rPr>
                <w:sz w:val="14"/>
                <w:szCs w:val="14"/>
                <w:color w:val="auto"/>
              </w:rPr>
            </w:pPr>
          </w:p>
        </w:tc>
        <w:tc>
          <w:tcPr>
            <w:tcW w:w="540" w:type="dxa"/>
            <w:vAlign w:val="bottom"/>
            <w:tcBorders>
              <w:bottom w:val="single" w:sz="8" w:color="FDF5E7"/>
              <w:right w:val="single" w:sz="8" w:color="FDF5E7"/>
            </w:tcBorders>
            <w:shd w:val="clear" w:color="auto" w:fill="FDF5E7"/>
          </w:tcPr>
          <w:p>
            <w:pPr>
              <w:spacing w:after="0"/>
              <w:rPr>
                <w:sz w:val="14"/>
                <w:szCs w:val="14"/>
                <w:color w:val="auto"/>
              </w:rPr>
            </w:pPr>
          </w:p>
        </w:tc>
        <w:tc>
          <w:tcPr>
            <w:tcW w:w="460" w:type="dxa"/>
            <w:vAlign w:val="bottom"/>
            <w:tcBorders>
              <w:bottom w:val="single" w:sz="8" w:color="FDF5E7"/>
            </w:tcBorders>
            <w:shd w:val="clear" w:color="auto" w:fill="FDF5E7"/>
          </w:tcPr>
          <w:p>
            <w:pPr>
              <w:spacing w:after="0"/>
              <w:rPr>
                <w:sz w:val="14"/>
                <w:szCs w:val="14"/>
                <w:color w:val="auto"/>
              </w:rPr>
            </w:pPr>
          </w:p>
        </w:tc>
        <w:tc>
          <w:tcPr>
            <w:tcW w:w="120" w:type="dxa"/>
            <w:vAlign w:val="bottom"/>
            <w:tcBorders>
              <w:bottom w:val="single" w:sz="8" w:color="FDF5E7"/>
              <w:right w:val="single" w:sz="8" w:color="auto"/>
            </w:tcBorders>
            <w:shd w:val="clear" w:color="auto" w:fill="FDF5E7"/>
          </w:tcPr>
          <w:p>
            <w:pPr>
              <w:spacing w:after="0"/>
              <w:rPr>
                <w:sz w:val="14"/>
                <w:szCs w:val="14"/>
                <w:color w:val="auto"/>
              </w:rPr>
            </w:pPr>
          </w:p>
        </w:tc>
        <w:tc>
          <w:tcPr>
            <w:tcW w:w="880" w:type="dxa"/>
            <w:vAlign w:val="bottom"/>
            <w:tcBorders>
              <w:bottom w:val="single" w:sz="8" w:color="FDF5E7"/>
            </w:tcBorders>
            <w:shd w:val="clear" w:color="auto" w:fill="FDF5E7"/>
          </w:tcPr>
          <w:p>
            <w:pPr>
              <w:spacing w:after="0"/>
              <w:rPr>
                <w:sz w:val="14"/>
                <w:szCs w:val="14"/>
                <w:color w:val="auto"/>
              </w:rPr>
            </w:pPr>
          </w:p>
        </w:tc>
        <w:tc>
          <w:tcPr>
            <w:tcW w:w="120" w:type="dxa"/>
            <w:vAlign w:val="bottom"/>
            <w:tcBorders>
              <w:bottom w:val="single" w:sz="8" w:color="FDF5E7"/>
            </w:tcBorders>
            <w:shd w:val="clear" w:color="auto" w:fill="FDF5E7"/>
          </w:tcPr>
          <w:p>
            <w:pPr>
              <w:spacing w:after="0"/>
              <w:rPr>
                <w:sz w:val="14"/>
                <w:szCs w:val="14"/>
                <w:color w:val="auto"/>
              </w:rPr>
            </w:pPr>
          </w:p>
        </w:tc>
        <w:tc>
          <w:tcPr>
            <w:tcW w:w="1080" w:type="dxa"/>
            <w:vAlign w:val="bottom"/>
            <w:tcBorders>
              <w:bottom w:val="single" w:sz="8" w:color="FDF5E7"/>
            </w:tcBorders>
            <w:shd w:val="clear" w:color="auto" w:fill="FDF5E7"/>
          </w:tcPr>
          <w:p>
            <w:pPr>
              <w:spacing w:after="0"/>
              <w:rPr>
                <w:sz w:val="14"/>
                <w:szCs w:val="14"/>
                <w:color w:val="auto"/>
              </w:rPr>
            </w:pPr>
          </w:p>
        </w:tc>
        <w:tc>
          <w:tcPr>
            <w:tcW w:w="720" w:type="dxa"/>
            <w:vAlign w:val="bottom"/>
            <w:tcBorders>
              <w:bottom w:val="single" w:sz="8" w:color="FDF5E7"/>
            </w:tcBorders>
            <w:gridSpan w:val="2"/>
            <w:shd w:val="clear" w:color="auto" w:fill="FDF5E7"/>
          </w:tcPr>
          <w:p>
            <w:pPr>
              <w:jc w:val="right"/>
              <w:ind w:right="60"/>
              <w:spacing w:after="0"/>
              <w:rPr>
                <w:sz w:val="20"/>
                <w:szCs w:val="20"/>
                <w:color w:val="auto"/>
              </w:rPr>
            </w:pPr>
            <w:r>
              <w:rPr>
                <w:rFonts w:ascii="Arial" w:cs="Arial" w:eastAsia="Arial" w:hAnsi="Arial"/>
                <w:sz w:val="12"/>
                <w:szCs w:val="12"/>
                <w:color w:val="auto"/>
              </w:rPr>
              <w:t>1,311</w:t>
            </w:r>
          </w:p>
        </w:tc>
      </w:tr>
      <w:tr>
        <w:trPr>
          <w:trHeight w:val="173"/>
        </w:trPr>
        <w:tc>
          <w:tcPr>
            <w:tcW w:w="2300" w:type="dxa"/>
            <w:vAlign w:val="bottom"/>
            <w:gridSpan w:val="3"/>
          </w:tcPr>
          <w:p>
            <w:pPr>
              <w:ind w:left="20"/>
              <w:spacing w:after="0"/>
              <w:rPr>
                <w:sz w:val="20"/>
                <w:szCs w:val="20"/>
                <w:color w:val="auto"/>
              </w:rPr>
            </w:pPr>
            <w:r>
              <w:rPr>
                <w:rFonts w:ascii="Arial" w:cs="Arial" w:eastAsia="Arial" w:hAnsi="Arial"/>
                <w:sz w:val="12"/>
                <w:szCs w:val="12"/>
                <w:color w:val="3C3C3B"/>
              </w:rPr>
              <w:t>Other investments</w:t>
            </w:r>
          </w:p>
        </w:tc>
        <w:tc>
          <w:tcPr>
            <w:tcW w:w="1120" w:type="dxa"/>
            <w:vAlign w:val="bottom"/>
          </w:tcPr>
          <w:p>
            <w:pPr>
              <w:jc w:val="right"/>
              <w:spacing w:after="0"/>
              <w:rPr>
                <w:sz w:val="20"/>
                <w:szCs w:val="20"/>
                <w:color w:val="auto"/>
              </w:rPr>
            </w:pPr>
            <w:r>
              <w:rPr>
                <w:rFonts w:ascii="Arial" w:cs="Arial" w:eastAsia="Arial" w:hAnsi="Arial"/>
                <w:sz w:val="12"/>
                <w:szCs w:val="12"/>
                <w:color w:val="auto"/>
              </w:rPr>
              <w:t>396</w:t>
            </w:r>
          </w:p>
        </w:tc>
        <w:tc>
          <w:tcPr>
            <w:tcW w:w="1380" w:type="dxa"/>
            <w:vAlign w:val="bottom"/>
            <w:gridSpan w:val="2"/>
          </w:tcPr>
          <w:p>
            <w:pPr>
              <w:jc w:val="right"/>
              <w:spacing w:after="0"/>
              <w:rPr>
                <w:sz w:val="20"/>
                <w:szCs w:val="20"/>
                <w:color w:val="auto"/>
              </w:rPr>
            </w:pPr>
            <w:r>
              <w:rPr>
                <w:rFonts w:ascii="Arial" w:cs="Arial" w:eastAsia="Arial" w:hAnsi="Arial"/>
                <w:sz w:val="12"/>
                <w:szCs w:val="12"/>
                <w:color w:val="auto"/>
              </w:rPr>
              <w:t>396</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396</w:t>
            </w:r>
          </w:p>
        </w:tc>
      </w:tr>
      <w:tr>
        <w:trPr>
          <w:trHeight w:val="199"/>
        </w:trPr>
        <w:tc>
          <w:tcPr>
            <w:tcW w:w="2300" w:type="dxa"/>
            <w:vAlign w:val="bottom"/>
            <w:gridSpan w:val="3"/>
          </w:tcPr>
          <w:p>
            <w:pPr>
              <w:ind w:left="20"/>
              <w:spacing w:after="0"/>
              <w:rPr>
                <w:sz w:val="20"/>
                <w:szCs w:val="20"/>
                <w:color w:val="auto"/>
              </w:rPr>
            </w:pPr>
            <w:r>
              <w:rPr>
                <w:rFonts w:ascii="Arial" w:cs="Arial" w:eastAsia="Arial" w:hAnsi="Arial"/>
                <w:sz w:val="12"/>
                <w:szCs w:val="12"/>
                <w:color w:val="3C3C3B"/>
              </w:rPr>
              <w:t>Loans</w:t>
            </w:r>
          </w:p>
        </w:tc>
        <w:tc>
          <w:tcPr>
            <w:tcW w:w="1120" w:type="dxa"/>
            <w:vAlign w:val="bottom"/>
          </w:tcPr>
          <w:p>
            <w:pPr>
              <w:jc w:val="right"/>
              <w:spacing w:after="0"/>
              <w:rPr>
                <w:sz w:val="20"/>
                <w:szCs w:val="20"/>
                <w:color w:val="auto"/>
              </w:rPr>
            </w:pPr>
            <w:r>
              <w:rPr>
                <w:rFonts w:ascii="Arial" w:cs="Arial" w:eastAsia="Arial" w:hAnsi="Arial"/>
                <w:sz w:val="12"/>
                <w:szCs w:val="12"/>
                <w:color w:val="auto"/>
              </w:rPr>
              <w:t>556</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gridSpan w:val="2"/>
          </w:tcPr>
          <w:p>
            <w:pPr>
              <w:jc w:val="right"/>
              <w:ind w:right="18"/>
              <w:spacing w:after="0"/>
              <w:rPr>
                <w:sz w:val="20"/>
                <w:szCs w:val="20"/>
                <w:color w:val="auto"/>
              </w:rPr>
            </w:pPr>
            <w:r>
              <w:rPr>
                <w:rFonts w:ascii="Arial" w:cs="Arial" w:eastAsia="Arial" w:hAnsi="Arial"/>
                <w:sz w:val="12"/>
                <w:szCs w:val="12"/>
                <w:color w:val="auto"/>
              </w:rPr>
              <w:t>556</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gridSpan w:val="2"/>
          </w:tcPr>
          <w:p>
            <w:pPr>
              <w:jc w:val="right"/>
              <w:ind w:right="178"/>
              <w:spacing w:after="0"/>
              <w:rPr>
                <w:sz w:val="20"/>
                <w:szCs w:val="20"/>
                <w:color w:val="auto"/>
              </w:rPr>
            </w:pPr>
            <w:r>
              <w:rPr>
                <w:rFonts w:ascii="Arial" w:cs="Arial" w:eastAsia="Arial" w:hAnsi="Arial"/>
                <w:sz w:val="12"/>
                <w:szCs w:val="12"/>
                <w:color w:val="auto"/>
              </w:rPr>
              <w:t>556</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79"/>
        </w:trPr>
        <w:tc>
          <w:tcPr>
            <w:tcW w:w="2300" w:type="dxa"/>
            <w:vAlign w:val="bottom"/>
            <w:tcBorders>
              <w:bottom w:val="single" w:sz="8" w:color="FDF5E7"/>
            </w:tcBorders>
            <w:gridSpan w:val="3"/>
            <w:shd w:val="clear" w:color="auto" w:fill="FDF5E7"/>
          </w:tcPr>
          <w:p>
            <w:pPr>
              <w:ind w:left="20"/>
              <w:spacing w:after="0"/>
              <w:rPr>
                <w:sz w:val="20"/>
                <w:szCs w:val="20"/>
                <w:color w:val="auto"/>
              </w:rPr>
            </w:pPr>
            <w:r>
              <w:rPr>
                <w:rFonts w:ascii="Arial" w:cs="Arial" w:eastAsia="Arial" w:hAnsi="Arial"/>
                <w:sz w:val="12"/>
                <w:szCs w:val="12"/>
                <w:color w:val="3C3C3B"/>
              </w:rPr>
              <w:t>Deposits and guarantees</w:t>
            </w:r>
          </w:p>
        </w:tc>
        <w:tc>
          <w:tcPr>
            <w:tcW w:w="11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341</w:t>
            </w:r>
          </w:p>
        </w:tc>
        <w:tc>
          <w:tcPr>
            <w:tcW w:w="100" w:type="dxa"/>
            <w:vAlign w:val="bottom"/>
            <w:tcBorders>
              <w:bottom w:val="single" w:sz="8" w:color="FDF5E7"/>
            </w:tcBorders>
            <w:shd w:val="clear" w:color="auto" w:fill="FDF5E7"/>
          </w:tcPr>
          <w:p>
            <w:pPr>
              <w:spacing w:after="0"/>
              <w:rPr>
                <w:sz w:val="15"/>
                <w:szCs w:val="15"/>
                <w:color w:val="auto"/>
              </w:rPr>
            </w:pPr>
          </w:p>
        </w:tc>
        <w:tc>
          <w:tcPr>
            <w:tcW w:w="1280" w:type="dxa"/>
            <w:vAlign w:val="bottom"/>
            <w:tcBorders>
              <w:bottom w:val="single" w:sz="8" w:color="FDF5E7"/>
            </w:tcBorders>
            <w:shd w:val="clear" w:color="auto" w:fill="FDF5E7"/>
          </w:tcPr>
          <w:p>
            <w:pPr>
              <w:spacing w:after="0"/>
              <w:rPr>
                <w:sz w:val="15"/>
                <w:szCs w:val="15"/>
                <w:color w:val="auto"/>
              </w:rPr>
            </w:pPr>
          </w:p>
        </w:tc>
        <w:tc>
          <w:tcPr>
            <w:tcW w:w="100" w:type="dxa"/>
            <w:vAlign w:val="bottom"/>
            <w:tcBorders>
              <w:bottom w:val="single" w:sz="8" w:color="FDF5E7"/>
            </w:tcBorders>
            <w:shd w:val="clear" w:color="auto" w:fill="FDF5E7"/>
          </w:tcPr>
          <w:p>
            <w:pPr>
              <w:spacing w:after="0"/>
              <w:rPr>
                <w:sz w:val="15"/>
                <w:szCs w:val="15"/>
                <w:color w:val="auto"/>
              </w:rPr>
            </w:pPr>
          </w:p>
        </w:tc>
        <w:tc>
          <w:tcPr>
            <w:tcW w:w="1200" w:type="dxa"/>
            <w:vAlign w:val="bottom"/>
            <w:tcBorders>
              <w:bottom w:val="single" w:sz="8" w:color="FDF5E7"/>
            </w:tcBorders>
            <w:shd w:val="clear" w:color="auto" w:fill="FDF5E7"/>
          </w:tcPr>
          <w:p>
            <w:pPr>
              <w:spacing w:after="0"/>
              <w:rPr>
                <w:sz w:val="15"/>
                <w:szCs w:val="15"/>
                <w:color w:val="auto"/>
              </w:rPr>
            </w:pPr>
          </w:p>
        </w:tc>
        <w:tc>
          <w:tcPr>
            <w:tcW w:w="1120" w:type="dxa"/>
            <w:vAlign w:val="bottom"/>
            <w:tcBorders>
              <w:bottom w:val="single" w:sz="8" w:color="FDF5E7"/>
              <w:right w:val="single" w:sz="8" w:color="FDF5E7"/>
            </w:tcBorders>
            <w:gridSpan w:val="2"/>
            <w:shd w:val="clear" w:color="auto" w:fill="FDF5E7"/>
          </w:tcPr>
          <w:p>
            <w:pPr>
              <w:jc w:val="right"/>
              <w:ind w:right="18"/>
              <w:spacing w:after="0"/>
              <w:rPr>
                <w:sz w:val="20"/>
                <w:szCs w:val="20"/>
                <w:color w:val="auto"/>
              </w:rPr>
            </w:pPr>
            <w:r>
              <w:rPr>
                <w:rFonts w:ascii="Arial" w:cs="Arial" w:eastAsia="Arial" w:hAnsi="Arial"/>
                <w:sz w:val="12"/>
                <w:szCs w:val="12"/>
                <w:color w:val="auto"/>
              </w:rPr>
              <w:t>341</w:t>
            </w:r>
          </w:p>
        </w:tc>
        <w:tc>
          <w:tcPr>
            <w:tcW w:w="80" w:type="dxa"/>
            <w:vAlign w:val="bottom"/>
            <w:tcBorders>
              <w:bottom w:val="single" w:sz="8" w:color="FDF5E7"/>
            </w:tcBorders>
            <w:shd w:val="clear" w:color="auto" w:fill="FDF5E7"/>
          </w:tcPr>
          <w:p>
            <w:pPr>
              <w:spacing w:after="0"/>
              <w:rPr>
                <w:sz w:val="15"/>
                <w:szCs w:val="15"/>
                <w:color w:val="auto"/>
              </w:rPr>
            </w:pPr>
          </w:p>
        </w:tc>
        <w:tc>
          <w:tcPr>
            <w:tcW w:w="540" w:type="dxa"/>
            <w:vAlign w:val="bottom"/>
            <w:tcBorders>
              <w:bottom w:val="single" w:sz="8" w:color="FDF5E7"/>
              <w:right w:val="single" w:sz="8" w:color="FDF5E7"/>
            </w:tcBorders>
            <w:shd w:val="clear" w:color="auto" w:fill="FDF5E7"/>
          </w:tcPr>
          <w:p>
            <w:pPr>
              <w:spacing w:after="0"/>
              <w:rPr>
                <w:sz w:val="15"/>
                <w:szCs w:val="15"/>
                <w:color w:val="auto"/>
              </w:rPr>
            </w:pPr>
          </w:p>
        </w:tc>
        <w:tc>
          <w:tcPr>
            <w:tcW w:w="460" w:type="dxa"/>
            <w:vAlign w:val="bottom"/>
            <w:tcBorders>
              <w:bottom w:val="single" w:sz="8" w:color="FDF5E7"/>
            </w:tcBorders>
            <w:shd w:val="clear" w:color="auto" w:fill="FDF5E7"/>
          </w:tcPr>
          <w:p>
            <w:pPr>
              <w:spacing w:after="0"/>
              <w:rPr>
                <w:sz w:val="15"/>
                <w:szCs w:val="15"/>
                <w:color w:val="auto"/>
              </w:rPr>
            </w:pPr>
          </w:p>
        </w:tc>
        <w:tc>
          <w:tcPr>
            <w:tcW w:w="120" w:type="dxa"/>
            <w:vAlign w:val="bottom"/>
            <w:tcBorders>
              <w:bottom w:val="single" w:sz="8" w:color="FDF5E7"/>
              <w:right w:val="single" w:sz="8" w:color="auto"/>
            </w:tcBorders>
            <w:shd w:val="clear" w:color="auto" w:fill="FDF5E7"/>
          </w:tcPr>
          <w:p>
            <w:pPr>
              <w:spacing w:after="0"/>
              <w:rPr>
                <w:sz w:val="15"/>
                <w:szCs w:val="15"/>
                <w:color w:val="auto"/>
              </w:rPr>
            </w:pPr>
          </w:p>
        </w:tc>
        <w:tc>
          <w:tcPr>
            <w:tcW w:w="880" w:type="dxa"/>
            <w:vAlign w:val="bottom"/>
            <w:tcBorders>
              <w:bottom w:val="single" w:sz="8" w:color="FDF5E7"/>
            </w:tcBorders>
            <w:shd w:val="clear" w:color="auto" w:fill="FDF5E7"/>
          </w:tcPr>
          <w:p>
            <w:pPr>
              <w:spacing w:after="0"/>
              <w:rPr>
                <w:sz w:val="15"/>
                <w:szCs w:val="15"/>
                <w:color w:val="auto"/>
              </w:rPr>
            </w:pPr>
          </w:p>
        </w:tc>
        <w:tc>
          <w:tcPr>
            <w:tcW w:w="1200" w:type="dxa"/>
            <w:vAlign w:val="bottom"/>
            <w:tcBorders>
              <w:bottom w:val="single" w:sz="8" w:color="FDF5E7"/>
            </w:tcBorders>
            <w:gridSpan w:val="2"/>
            <w:shd w:val="clear" w:color="auto" w:fill="FDF5E7"/>
          </w:tcPr>
          <w:p>
            <w:pPr>
              <w:jc w:val="right"/>
              <w:ind w:right="178"/>
              <w:spacing w:after="0"/>
              <w:rPr>
                <w:sz w:val="20"/>
                <w:szCs w:val="20"/>
                <w:color w:val="auto"/>
              </w:rPr>
            </w:pPr>
            <w:r>
              <w:rPr>
                <w:rFonts w:ascii="Arial" w:cs="Arial" w:eastAsia="Arial" w:hAnsi="Arial"/>
                <w:sz w:val="12"/>
                <w:szCs w:val="12"/>
                <w:color w:val="auto"/>
              </w:rPr>
              <w:t>341</w:t>
            </w:r>
          </w:p>
        </w:tc>
        <w:tc>
          <w:tcPr>
            <w:tcW w:w="660" w:type="dxa"/>
            <w:vAlign w:val="bottom"/>
            <w:tcBorders>
              <w:bottom w:val="single" w:sz="8" w:color="FDF5E7"/>
            </w:tcBorders>
            <w:shd w:val="clear" w:color="auto" w:fill="FDF5E7"/>
          </w:tcPr>
          <w:p>
            <w:pPr>
              <w:spacing w:after="0"/>
              <w:rPr>
                <w:sz w:val="15"/>
                <w:szCs w:val="15"/>
                <w:color w:val="auto"/>
              </w:rPr>
            </w:pPr>
          </w:p>
        </w:tc>
        <w:tc>
          <w:tcPr>
            <w:tcW w:w="60" w:type="dxa"/>
            <w:vAlign w:val="bottom"/>
            <w:tcBorders>
              <w:bottom w:val="single" w:sz="8" w:color="FDF5E7"/>
            </w:tcBorders>
            <w:shd w:val="clear" w:color="auto" w:fill="FDF5E7"/>
          </w:tcPr>
          <w:p>
            <w:pPr>
              <w:spacing w:after="0"/>
              <w:rPr>
                <w:sz w:val="15"/>
                <w:szCs w:val="15"/>
                <w:color w:val="auto"/>
              </w:rPr>
            </w:pPr>
          </w:p>
        </w:tc>
      </w:tr>
      <w:tr>
        <w:trPr>
          <w:trHeight w:val="179"/>
        </w:trPr>
        <w:tc>
          <w:tcPr>
            <w:tcW w:w="2060" w:type="dxa"/>
            <w:vAlign w:val="bottom"/>
          </w:tcPr>
          <w:p>
            <w:pPr>
              <w:ind w:left="20"/>
              <w:spacing w:after="0"/>
              <w:rPr>
                <w:sz w:val="20"/>
                <w:szCs w:val="20"/>
                <w:color w:val="auto"/>
              </w:rPr>
            </w:pPr>
            <w:r>
              <w:rPr>
                <w:rFonts w:ascii="Arial" w:cs="Arial" w:eastAsia="Arial" w:hAnsi="Arial"/>
                <w:sz w:val="12"/>
                <w:szCs w:val="12"/>
                <w:color w:val="3C3C3B"/>
              </w:rPr>
              <w:t>Liquidity contracts</w:t>
            </w:r>
          </w:p>
        </w:tc>
        <w:tc>
          <w:tcPr>
            <w:tcW w:w="100" w:type="dxa"/>
            <w:vAlign w:val="bottom"/>
            <w:tcBorders>
              <w:bottom w:val="single" w:sz="8" w:color="FDF5E7"/>
            </w:tcBorders>
            <w:shd w:val="clear" w:color="auto" w:fill="FDF5E7"/>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398</w:t>
            </w:r>
          </w:p>
        </w:tc>
        <w:tc>
          <w:tcPr>
            <w:tcW w:w="100" w:type="dxa"/>
            <w:vAlign w:val="bottom"/>
            <w:tcBorders>
              <w:bottom w:val="single" w:sz="8" w:color="FDF5E7"/>
            </w:tcBorders>
            <w:shd w:val="clear" w:color="auto" w:fill="FDF5E7"/>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398</w:t>
            </w:r>
          </w:p>
        </w:tc>
        <w:tc>
          <w:tcPr>
            <w:tcW w:w="100" w:type="dxa"/>
            <w:vAlign w:val="bottom"/>
            <w:tcBorders>
              <w:bottom w:val="single" w:sz="8" w:color="FDF5E7"/>
            </w:tcBorders>
            <w:shd w:val="clear" w:color="auto" w:fill="FDF5E7"/>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Borders>
              <w:bottom w:val="single" w:sz="8" w:color="FDF5E7"/>
            </w:tcBorders>
            <w:shd w:val="clear" w:color="auto" w:fill="FDF5E7"/>
          </w:tcPr>
          <w:p>
            <w:pPr>
              <w:spacing w:after="0"/>
              <w:rPr>
                <w:sz w:val="15"/>
                <w:szCs w:val="15"/>
                <w:color w:val="auto"/>
              </w:rPr>
            </w:pPr>
          </w:p>
        </w:tc>
        <w:tc>
          <w:tcPr>
            <w:tcW w:w="1020" w:type="dxa"/>
            <w:vAlign w:val="bottom"/>
            <w:tcBorders>
              <w:right w:val="single" w:sz="8" w:color="FDF5E7"/>
            </w:tcBorders>
          </w:tcPr>
          <w:p>
            <w:pPr>
              <w:spacing w:after="0"/>
              <w:rPr>
                <w:sz w:val="15"/>
                <w:szCs w:val="15"/>
                <w:color w:val="auto"/>
              </w:rPr>
            </w:pPr>
          </w:p>
        </w:tc>
        <w:tc>
          <w:tcPr>
            <w:tcW w:w="80" w:type="dxa"/>
            <w:vAlign w:val="bottom"/>
            <w:tcBorders>
              <w:bottom w:val="single" w:sz="8" w:color="FDF5E7"/>
            </w:tcBorders>
            <w:shd w:val="clear" w:color="auto" w:fill="FDF5E7"/>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bottom w:val="single" w:sz="8" w:color="FDF5E7"/>
              <w:right w:val="single" w:sz="8" w:color="auto"/>
            </w:tcBorders>
            <w:shd w:val="clear" w:color="auto" w:fill="FDF5E7"/>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398</w:t>
            </w:r>
          </w:p>
        </w:tc>
        <w:tc>
          <w:tcPr>
            <w:tcW w:w="120" w:type="dxa"/>
            <w:vAlign w:val="bottom"/>
            <w:tcBorders>
              <w:bottom w:val="single" w:sz="8" w:color="FDF5E7"/>
            </w:tcBorders>
            <w:shd w:val="clear" w:color="auto" w:fill="FDF5E7"/>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3"/>
        </w:trPr>
        <w:tc>
          <w:tcPr>
            <w:tcW w:w="2300" w:type="dxa"/>
            <w:vAlign w:val="bottom"/>
            <w:gridSpan w:val="3"/>
          </w:tcPr>
          <w:p>
            <w:pPr>
              <w:ind w:left="20"/>
              <w:spacing w:after="0"/>
              <w:rPr>
                <w:sz w:val="20"/>
                <w:szCs w:val="20"/>
                <w:color w:val="auto"/>
              </w:rPr>
            </w:pPr>
            <w:r>
              <w:rPr>
                <w:rFonts w:ascii="Arial" w:cs="Arial" w:eastAsia="Arial" w:hAnsi="Arial"/>
                <w:sz w:val="12"/>
                <w:szCs w:val="12"/>
                <w:color w:val="3C3C3B"/>
              </w:rPr>
              <w:t>Trade receivables</w:t>
            </w:r>
          </w:p>
        </w:tc>
        <w:tc>
          <w:tcPr>
            <w:tcW w:w="1120" w:type="dxa"/>
            <w:vAlign w:val="bottom"/>
          </w:tcPr>
          <w:p>
            <w:pPr>
              <w:jc w:val="right"/>
              <w:spacing w:after="0"/>
              <w:rPr>
                <w:sz w:val="20"/>
                <w:szCs w:val="20"/>
                <w:color w:val="auto"/>
              </w:rPr>
            </w:pPr>
            <w:r>
              <w:rPr>
                <w:rFonts w:ascii="Arial" w:cs="Arial" w:eastAsia="Arial" w:hAnsi="Arial"/>
                <w:sz w:val="12"/>
                <w:szCs w:val="12"/>
                <w:color w:val="auto"/>
              </w:rPr>
              <w:t>36,870</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20" w:type="dxa"/>
            <w:vAlign w:val="bottom"/>
            <w:gridSpan w:val="2"/>
          </w:tcPr>
          <w:p>
            <w:pPr>
              <w:jc w:val="right"/>
              <w:ind w:right="18"/>
              <w:spacing w:after="0"/>
              <w:rPr>
                <w:sz w:val="20"/>
                <w:szCs w:val="20"/>
                <w:color w:val="auto"/>
              </w:rPr>
            </w:pPr>
            <w:r>
              <w:rPr>
                <w:rFonts w:ascii="Arial" w:cs="Arial" w:eastAsia="Arial" w:hAnsi="Arial"/>
                <w:sz w:val="12"/>
                <w:szCs w:val="12"/>
                <w:color w:val="auto"/>
              </w:rPr>
              <w:t>36,870</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gridSpan w:val="2"/>
          </w:tcPr>
          <w:p>
            <w:pPr>
              <w:jc w:val="right"/>
              <w:ind w:right="178"/>
              <w:spacing w:after="0"/>
              <w:rPr>
                <w:sz w:val="20"/>
                <w:szCs w:val="20"/>
                <w:color w:val="auto"/>
              </w:rPr>
            </w:pPr>
            <w:r>
              <w:rPr>
                <w:rFonts w:ascii="Arial" w:cs="Arial" w:eastAsia="Arial" w:hAnsi="Arial"/>
                <w:sz w:val="12"/>
                <w:szCs w:val="12"/>
                <w:color w:val="auto"/>
              </w:rPr>
              <w:t>36,870</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6"/>
        </w:trPr>
        <w:tc>
          <w:tcPr>
            <w:tcW w:w="230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2300" w:type="dxa"/>
            <w:vAlign w:val="bottom"/>
            <w:tcBorders>
              <w:bottom w:val="single" w:sz="8" w:color="FDF5E7"/>
            </w:tcBorders>
            <w:gridSpan w:val="3"/>
            <w:shd w:val="clear" w:color="auto" w:fill="FDF5E7"/>
          </w:tcPr>
          <w:p>
            <w:pPr>
              <w:ind w:left="20"/>
              <w:spacing w:after="0"/>
              <w:rPr>
                <w:sz w:val="20"/>
                <w:szCs w:val="20"/>
                <w:color w:val="auto"/>
              </w:rPr>
            </w:pPr>
            <w:r>
              <w:rPr>
                <w:rFonts w:ascii="Arial" w:cs="Arial" w:eastAsia="Arial" w:hAnsi="Arial"/>
                <w:sz w:val="12"/>
                <w:szCs w:val="12"/>
                <w:color w:val="3C3C3B"/>
              </w:rPr>
              <w:t>Cash and cash equivalents</w:t>
            </w:r>
          </w:p>
        </w:tc>
        <w:tc>
          <w:tcPr>
            <w:tcW w:w="11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107,511</w:t>
            </w:r>
          </w:p>
        </w:tc>
        <w:tc>
          <w:tcPr>
            <w:tcW w:w="1380" w:type="dxa"/>
            <w:vAlign w:val="bottom"/>
            <w:tcBorders>
              <w:bottom w:val="single" w:sz="8" w:color="FDF5E7"/>
            </w:tcBorders>
            <w:gridSpan w:val="2"/>
            <w:shd w:val="clear" w:color="auto" w:fill="FDF5E7"/>
          </w:tcPr>
          <w:p>
            <w:pPr>
              <w:jc w:val="right"/>
              <w:spacing w:after="0"/>
              <w:rPr>
                <w:sz w:val="20"/>
                <w:szCs w:val="20"/>
                <w:color w:val="auto"/>
              </w:rPr>
            </w:pPr>
            <w:r>
              <w:rPr>
                <w:rFonts w:ascii="Arial" w:cs="Arial" w:eastAsia="Arial" w:hAnsi="Arial"/>
                <w:sz w:val="12"/>
                <w:szCs w:val="12"/>
                <w:color w:val="auto"/>
              </w:rPr>
              <w:t>107,511</w:t>
            </w:r>
          </w:p>
        </w:tc>
        <w:tc>
          <w:tcPr>
            <w:tcW w:w="100" w:type="dxa"/>
            <w:vAlign w:val="bottom"/>
            <w:tcBorders>
              <w:bottom w:val="single" w:sz="8" w:color="FDF5E7"/>
            </w:tcBorders>
            <w:shd w:val="clear" w:color="auto" w:fill="FDF5E7"/>
          </w:tcPr>
          <w:p>
            <w:pPr>
              <w:spacing w:after="0"/>
              <w:rPr>
                <w:sz w:val="17"/>
                <w:szCs w:val="17"/>
                <w:color w:val="auto"/>
              </w:rPr>
            </w:pPr>
          </w:p>
        </w:tc>
        <w:tc>
          <w:tcPr>
            <w:tcW w:w="1200" w:type="dxa"/>
            <w:vAlign w:val="bottom"/>
            <w:tcBorders>
              <w:bottom w:val="single" w:sz="8" w:color="FDF5E7"/>
            </w:tcBorders>
            <w:shd w:val="clear" w:color="auto" w:fill="FDF5E7"/>
          </w:tcPr>
          <w:p>
            <w:pPr>
              <w:spacing w:after="0"/>
              <w:rPr>
                <w:sz w:val="17"/>
                <w:szCs w:val="17"/>
                <w:color w:val="auto"/>
              </w:rPr>
            </w:pPr>
          </w:p>
        </w:tc>
        <w:tc>
          <w:tcPr>
            <w:tcW w:w="100" w:type="dxa"/>
            <w:vAlign w:val="bottom"/>
            <w:tcBorders>
              <w:bottom w:val="single" w:sz="8" w:color="FDF5E7"/>
            </w:tcBorders>
            <w:shd w:val="clear" w:color="auto" w:fill="FDF5E7"/>
          </w:tcPr>
          <w:p>
            <w:pPr>
              <w:spacing w:after="0"/>
              <w:rPr>
                <w:sz w:val="17"/>
                <w:szCs w:val="17"/>
                <w:color w:val="auto"/>
              </w:rPr>
            </w:pPr>
          </w:p>
        </w:tc>
        <w:tc>
          <w:tcPr>
            <w:tcW w:w="1020" w:type="dxa"/>
            <w:vAlign w:val="bottom"/>
            <w:tcBorders>
              <w:bottom w:val="single" w:sz="8" w:color="FDF5E7"/>
              <w:right w:val="single" w:sz="8" w:color="FDF5E7"/>
            </w:tcBorders>
            <w:shd w:val="clear" w:color="auto" w:fill="FDF5E7"/>
          </w:tcPr>
          <w:p>
            <w:pPr>
              <w:spacing w:after="0"/>
              <w:rPr>
                <w:sz w:val="17"/>
                <w:szCs w:val="17"/>
                <w:color w:val="auto"/>
              </w:rPr>
            </w:pPr>
          </w:p>
        </w:tc>
        <w:tc>
          <w:tcPr>
            <w:tcW w:w="80" w:type="dxa"/>
            <w:vAlign w:val="bottom"/>
            <w:tcBorders>
              <w:bottom w:val="single" w:sz="8" w:color="FDF5E7"/>
            </w:tcBorders>
            <w:shd w:val="clear" w:color="auto" w:fill="FDF5E7"/>
          </w:tcPr>
          <w:p>
            <w:pPr>
              <w:spacing w:after="0"/>
              <w:rPr>
                <w:sz w:val="17"/>
                <w:szCs w:val="17"/>
                <w:color w:val="auto"/>
              </w:rPr>
            </w:pPr>
          </w:p>
        </w:tc>
        <w:tc>
          <w:tcPr>
            <w:tcW w:w="540" w:type="dxa"/>
            <w:vAlign w:val="bottom"/>
            <w:tcBorders>
              <w:bottom w:val="single" w:sz="8" w:color="FDF5E7"/>
              <w:right w:val="single" w:sz="8" w:color="FDF5E7"/>
            </w:tcBorders>
            <w:shd w:val="clear" w:color="auto" w:fill="FDF5E7"/>
          </w:tcPr>
          <w:p>
            <w:pPr>
              <w:spacing w:after="0"/>
              <w:rPr>
                <w:sz w:val="17"/>
                <w:szCs w:val="17"/>
                <w:color w:val="auto"/>
              </w:rPr>
            </w:pPr>
          </w:p>
        </w:tc>
        <w:tc>
          <w:tcPr>
            <w:tcW w:w="460" w:type="dxa"/>
            <w:vAlign w:val="bottom"/>
            <w:tcBorders>
              <w:bottom w:val="single" w:sz="8" w:color="FDF5E7"/>
            </w:tcBorders>
            <w:shd w:val="clear" w:color="auto" w:fill="FDF5E7"/>
          </w:tcPr>
          <w:p>
            <w:pPr>
              <w:spacing w:after="0"/>
              <w:rPr>
                <w:sz w:val="17"/>
                <w:szCs w:val="17"/>
                <w:color w:val="auto"/>
              </w:rPr>
            </w:pPr>
          </w:p>
        </w:tc>
        <w:tc>
          <w:tcPr>
            <w:tcW w:w="120" w:type="dxa"/>
            <w:vAlign w:val="bottom"/>
            <w:tcBorders>
              <w:bottom w:val="single" w:sz="8" w:color="FDF5E7"/>
              <w:right w:val="single" w:sz="8" w:color="auto"/>
            </w:tcBorders>
            <w:shd w:val="clear" w:color="auto" w:fill="FDF5E7"/>
          </w:tcPr>
          <w:p>
            <w:pPr>
              <w:spacing w:after="0"/>
              <w:rPr>
                <w:sz w:val="17"/>
                <w:szCs w:val="17"/>
                <w:color w:val="auto"/>
              </w:rPr>
            </w:pPr>
          </w:p>
        </w:tc>
        <w:tc>
          <w:tcPr>
            <w:tcW w:w="88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107,511</w:t>
            </w:r>
          </w:p>
        </w:tc>
        <w:tc>
          <w:tcPr>
            <w:tcW w:w="120" w:type="dxa"/>
            <w:vAlign w:val="bottom"/>
            <w:tcBorders>
              <w:bottom w:val="single" w:sz="8" w:color="FDF5E7"/>
            </w:tcBorders>
            <w:shd w:val="clear" w:color="auto" w:fill="FDF5E7"/>
          </w:tcPr>
          <w:p>
            <w:pPr>
              <w:spacing w:after="0"/>
              <w:rPr>
                <w:sz w:val="17"/>
                <w:szCs w:val="17"/>
                <w:color w:val="auto"/>
              </w:rPr>
            </w:pPr>
          </w:p>
        </w:tc>
        <w:tc>
          <w:tcPr>
            <w:tcW w:w="1080" w:type="dxa"/>
            <w:vAlign w:val="bottom"/>
            <w:tcBorders>
              <w:bottom w:val="single" w:sz="8" w:color="FDF5E7"/>
            </w:tcBorders>
            <w:shd w:val="clear" w:color="auto" w:fill="FDF5E7"/>
          </w:tcPr>
          <w:p>
            <w:pPr>
              <w:spacing w:after="0"/>
              <w:rPr>
                <w:sz w:val="17"/>
                <w:szCs w:val="17"/>
                <w:color w:val="auto"/>
              </w:rPr>
            </w:pPr>
          </w:p>
        </w:tc>
        <w:tc>
          <w:tcPr>
            <w:tcW w:w="660" w:type="dxa"/>
            <w:vAlign w:val="bottom"/>
            <w:tcBorders>
              <w:bottom w:val="single" w:sz="8" w:color="FDF5E7"/>
            </w:tcBorders>
            <w:shd w:val="clear" w:color="auto" w:fill="FDF5E7"/>
          </w:tcPr>
          <w:p>
            <w:pPr>
              <w:spacing w:after="0"/>
              <w:rPr>
                <w:sz w:val="17"/>
                <w:szCs w:val="17"/>
                <w:color w:val="auto"/>
              </w:rPr>
            </w:pPr>
          </w:p>
        </w:tc>
        <w:tc>
          <w:tcPr>
            <w:tcW w:w="60" w:type="dxa"/>
            <w:vAlign w:val="bottom"/>
            <w:tcBorders>
              <w:bottom w:val="single" w:sz="8" w:color="FDF5E7"/>
            </w:tcBorders>
            <w:shd w:val="clear" w:color="auto" w:fill="FDF5E7"/>
          </w:tcPr>
          <w:p>
            <w:pPr>
              <w:spacing w:after="0"/>
              <w:rPr>
                <w:sz w:val="17"/>
                <w:szCs w:val="17"/>
                <w:color w:val="auto"/>
              </w:rPr>
            </w:pPr>
          </w:p>
        </w:tc>
      </w:tr>
      <w:tr>
        <w:trPr>
          <w:trHeight w:val="172"/>
        </w:trPr>
        <w:tc>
          <w:tcPr>
            <w:tcW w:w="2300" w:type="dxa"/>
            <w:vAlign w:val="bottom"/>
            <w:tcBorders>
              <w:top w:val="single" w:sz="8" w:color="auto"/>
            </w:tcBorders>
            <w:gridSpan w:val="3"/>
          </w:tcPr>
          <w:p>
            <w:pPr>
              <w:ind w:left="20"/>
              <w:spacing w:after="0"/>
              <w:rPr>
                <w:sz w:val="20"/>
                <w:szCs w:val="20"/>
                <w:color w:val="auto"/>
              </w:rPr>
            </w:pPr>
            <w:r>
              <w:rPr>
                <w:rFonts w:ascii="Arial" w:cs="Arial" w:eastAsia="Arial" w:hAnsi="Arial"/>
                <w:sz w:val="12"/>
                <w:szCs w:val="12"/>
                <w:b w:val="1"/>
                <w:bCs w:val="1"/>
                <w:i w:val="1"/>
                <w:iCs w:val="1"/>
                <w:color w:val="3C3C3B"/>
              </w:rPr>
              <w:t>TOTAL - Assets</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i w:val="1"/>
                <w:iCs w:val="1"/>
                <w:color w:val="auto"/>
              </w:rPr>
              <w:t>147,384</w:t>
            </w: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b w:val="1"/>
                <w:bCs w:val="1"/>
                <w:i w:val="1"/>
                <w:iCs w:val="1"/>
                <w:color w:val="auto"/>
              </w:rPr>
              <w:t>108,306</w:t>
            </w: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b w:val="1"/>
                <w:bCs w:val="1"/>
                <w:i w:val="1"/>
                <w:iCs w:val="1"/>
                <w:color w:val="auto"/>
              </w:rPr>
              <w:t>1,311</w:t>
            </w:r>
          </w:p>
        </w:tc>
        <w:tc>
          <w:tcPr>
            <w:tcW w:w="1120" w:type="dxa"/>
            <w:vAlign w:val="bottom"/>
            <w:tcBorders>
              <w:top w:val="single" w:sz="8" w:color="auto"/>
            </w:tcBorders>
            <w:gridSpan w:val="2"/>
          </w:tcPr>
          <w:p>
            <w:pPr>
              <w:jc w:val="right"/>
              <w:ind w:right="18"/>
              <w:spacing w:after="0"/>
              <w:rPr>
                <w:sz w:val="20"/>
                <w:szCs w:val="20"/>
                <w:color w:val="auto"/>
              </w:rPr>
            </w:pPr>
            <w:r>
              <w:rPr>
                <w:rFonts w:ascii="Arial" w:cs="Arial" w:eastAsia="Arial" w:hAnsi="Arial"/>
                <w:sz w:val="12"/>
                <w:szCs w:val="12"/>
                <w:b w:val="1"/>
                <w:bCs w:val="1"/>
                <w:i w:val="1"/>
                <w:iCs w:val="1"/>
                <w:color w:val="auto"/>
              </w:rPr>
              <w:t>37,766</w:t>
            </w: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i w:val="1"/>
                <w:iCs w:val="1"/>
                <w:color w:val="auto"/>
              </w:rPr>
              <w:t>—</w:t>
            </w:r>
          </w:p>
        </w:tc>
        <w:tc>
          <w:tcPr>
            <w:tcW w:w="12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i w:val="1"/>
                <w:iCs w:val="1"/>
                <w:color w:val="auto"/>
              </w:rPr>
              <w:t>107,910</w:t>
            </w:r>
          </w:p>
        </w:tc>
        <w:tc>
          <w:tcPr>
            <w:tcW w:w="1200" w:type="dxa"/>
            <w:vAlign w:val="bottom"/>
            <w:tcBorders>
              <w:top w:val="single" w:sz="8" w:color="auto"/>
            </w:tcBorders>
            <w:gridSpan w:val="2"/>
          </w:tcPr>
          <w:p>
            <w:pPr>
              <w:jc w:val="right"/>
              <w:ind w:right="178"/>
              <w:spacing w:after="0"/>
              <w:rPr>
                <w:sz w:val="20"/>
                <w:szCs w:val="20"/>
                <w:color w:val="auto"/>
              </w:rPr>
            </w:pPr>
            <w:r>
              <w:rPr>
                <w:rFonts w:ascii="Arial" w:cs="Arial" w:eastAsia="Arial" w:hAnsi="Arial"/>
                <w:sz w:val="12"/>
                <w:szCs w:val="12"/>
                <w:b w:val="1"/>
                <w:bCs w:val="1"/>
                <w:i w:val="1"/>
                <w:iCs w:val="1"/>
                <w:color w:val="auto"/>
              </w:rPr>
              <w:t>37,766</w:t>
            </w:r>
          </w:p>
        </w:tc>
        <w:tc>
          <w:tcPr>
            <w:tcW w:w="7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2"/>
                <w:szCs w:val="12"/>
                <w:b w:val="1"/>
                <w:bCs w:val="1"/>
                <w:i w:val="1"/>
                <w:iCs w:val="1"/>
                <w:color w:val="auto"/>
              </w:rPr>
              <w:t>1,707</w:t>
            </w:r>
          </w:p>
        </w:tc>
      </w:tr>
      <w:tr>
        <w:trPr>
          <w:trHeight w:val="20"/>
        </w:trPr>
        <w:tc>
          <w:tcPr>
            <w:tcW w:w="2300" w:type="dxa"/>
            <w:vAlign w:val="bottom"/>
            <w:tcBorders>
              <w:bottom w:val="single" w:sz="8" w:color="auto"/>
            </w:tcBorders>
            <w:gridSpan w:val="3"/>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72"/>
        </w:trPr>
        <w:tc>
          <w:tcPr>
            <w:tcW w:w="2300" w:type="dxa"/>
            <w:vAlign w:val="bottom"/>
            <w:gridSpan w:val="3"/>
          </w:tcPr>
          <w:p>
            <w:pPr>
              <w:ind w:left="20"/>
              <w:spacing w:after="0"/>
              <w:rPr>
                <w:sz w:val="20"/>
                <w:szCs w:val="20"/>
                <w:color w:val="auto"/>
              </w:rPr>
            </w:pPr>
            <w:r>
              <w:rPr>
                <w:rFonts w:ascii="Arial" w:cs="Arial" w:eastAsia="Arial" w:hAnsi="Arial"/>
                <w:sz w:val="12"/>
                <w:szCs w:val="12"/>
                <w:b w:val="1"/>
                <w:bCs w:val="1"/>
                <w:color w:val="3C3C3B"/>
              </w:rPr>
              <w:t>Liabilities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2300" w:type="dxa"/>
            <w:vAlign w:val="bottom"/>
            <w:tcBorders>
              <w:bottom w:val="single" w:sz="8" w:color="E99D25"/>
            </w:tcBorders>
            <w:gridSpan w:val="3"/>
          </w:tcPr>
          <w:p>
            <w:pPr>
              <w:spacing w:after="0" w:line="20" w:lineRule="exact"/>
              <w:rPr>
                <w:sz w:val="1"/>
                <w:szCs w:val="1"/>
                <w:color w:val="auto"/>
              </w:rPr>
            </w:pPr>
          </w:p>
        </w:tc>
        <w:tc>
          <w:tcPr>
            <w:tcW w:w="1120" w:type="dxa"/>
            <w:vAlign w:val="bottom"/>
            <w:tcBorders>
              <w:bottom w:val="single" w:sz="8" w:color="E99D25"/>
            </w:tcBorders>
          </w:tcPr>
          <w:p>
            <w:pPr>
              <w:spacing w:after="0" w:line="20" w:lineRule="exact"/>
              <w:rPr>
                <w:sz w:val="1"/>
                <w:szCs w:val="1"/>
                <w:color w:val="auto"/>
              </w:rPr>
            </w:pPr>
          </w:p>
        </w:tc>
        <w:tc>
          <w:tcPr>
            <w:tcW w:w="100" w:type="dxa"/>
            <w:vAlign w:val="bottom"/>
            <w:tcBorders>
              <w:bottom w:val="single" w:sz="8" w:color="E99D25"/>
            </w:tcBorders>
          </w:tcPr>
          <w:p>
            <w:pPr>
              <w:spacing w:after="0" w:line="20" w:lineRule="exact"/>
              <w:rPr>
                <w:sz w:val="1"/>
                <w:szCs w:val="1"/>
                <w:color w:val="auto"/>
              </w:rPr>
            </w:pPr>
          </w:p>
        </w:tc>
        <w:tc>
          <w:tcPr>
            <w:tcW w:w="1280" w:type="dxa"/>
            <w:vAlign w:val="bottom"/>
            <w:tcBorders>
              <w:bottom w:val="single" w:sz="8" w:color="E99D25"/>
            </w:tcBorders>
          </w:tcPr>
          <w:p>
            <w:pPr>
              <w:spacing w:after="0" w:line="20" w:lineRule="exact"/>
              <w:rPr>
                <w:sz w:val="1"/>
                <w:szCs w:val="1"/>
                <w:color w:val="auto"/>
              </w:rPr>
            </w:pPr>
          </w:p>
        </w:tc>
        <w:tc>
          <w:tcPr>
            <w:tcW w:w="100" w:type="dxa"/>
            <w:vAlign w:val="bottom"/>
            <w:tcBorders>
              <w:bottom w:val="single" w:sz="8" w:color="E99D25"/>
            </w:tcBorders>
          </w:tcPr>
          <w:p>
            <w:pPr>
              <w:spacing w:after="0" w:line="20" w:lineRule="exact"/>
              <w:rPr>
                <w:sz w:val="1"/>
                <w:szCs w:val="1"/>
                <w:color w:val="auto"/>
              </w:rPr>
            </w:pPr>
          </w:p>
        </w:tc>
        <w:tc>
          <w:tcPr>
            <w:tcW w:w="1200" w:type="dxa"/>
            <w:vAlign w:val="bottom"/>
            <w:tcBorders>
              <w:bottom w:val="single" w:sz="8" w:color="E99D25"/>
            </w:tcBorders>
          </w:tcPr>
          <w:p>
            <w:pPr>
              <w:spacing w:after="0" w:line="20" w:lineRule="exact"/>
              <w:rPr>
                <w:sz w:val="1"/>
                <w:szCs w:val="1"/>
                <w:color w:val="auto"/>
              </w:rPr>
            </w:pPr>
          </w:p>
        </w:tc>
        <w:tc>
          <w:tcPr>
            <w:tcW w:w="100" w:type="dxa"/>
            <w:vAlign w:val="bottom"/>
            <w:tcBorders>
              <w:bottom w:val="single" w:sz="8" w:color="E99D25"/>
            </w:tcBorders>
          </w:tcPr>
          <w:p>
            <w:pPr>
              <w:spacing w:after="0" w:line="20" w:lineRule="exact"/>
              <w:rPr>
                <w:sz w:val="1"/>
                <w:szCs w:val="1"/>
                <w:color w:val="auto"/>
              </w:rPr>
            </w:pPr>
          </w:p>
        </w:tc>
        <w:tc>
          <w:tcPr>
            <w:tcW w:w="1020" w:type="dxa"/>
            <w:vAlign w:val="bottom"/>
            <w:tcBorders>
              <w:bottom w:val="single" w:sz="8" w:color="E99D25"/>
            </w:tcBorders>
          </w:tcPr>
          <w:p>
            <w:pPr>
              <w:spacing w:after="0" w:line="20" w:lineRule="exact"/>
              <w:rPr>
                <w:sz w:val="1"/>
                <w:szCs w:val="1"/>
                <w:color w:val="auto"/>
              </w:rPr>
            </w:pPr>
          </w:p>
        </w:tc>
        <w:tc>
          <w:tcPr>
            <w:tcW w:w="1080" w:type="dxa"/>
            <w:vAlign w:val="bottom"/>
            <w:tcBorders>
              <w:bottom w:val="single" w:sz="8" w:color="E99D25"/>
            </w:tcBorders>
            <w:gridSpan w:val="3"/>
          </w:tcPr>
          <w:p>
            <w:pPr>
              <w:spacing w:after="0" w:line="20" w:lineRule="exact"/>
              <w:rPr>
                <w:sz w:val="1"/>
                <w:szCs w:val="1"/>
                <w:color w:val="auto"/>
              </w:rPr>
            </w:pPr>
          </w:p>
        </w:tc>
        <w:tc>
          <w:tcPr>
            <w:tcW w:w="120" w:type="dxa"/>
            <w:vAlign w:val="bottom"/>
            <w:tcBorders>
              <w:bottom w:val="single" w:sz="8" w:color="E99D25"/>
              <w:right w:val="single" w:sz="8" w:color="auto"/>
            </w:tcBorders>
          </w:tcPr>
          <w:p>
            <w:pPr>
              <w:spacing w:after="0" w:line="20" w:lineRule="exact"/>
              <w:rPr>
                <w:sz w:val="1"/>
                <w:szCs w:val="1"/>
                <w:color w:val="auto"/>
              </w:rPr>
            </w:pPr>
          </w:p>
        </w:tc>
        <w:tc>
          <w:tcPr>
            <w:tcW w:w="880" w:type="dxa"/>
            <w:vAlign w:val="bottom"/>
            <w:tcBorders>
              <w:bottom w:val="single" w:sz="8" w:color="E99D25"/>
            </w:tcBorders>
          </w:tcPr>
          <w:p>
            <w:pPr>
              <w:spacing w:after="0" w:line="20" w:lineRule="exact"/>
              <w:rPr>
                <w:sz w:val="1"/>
                <w:szCs w:val="1"/>
                <w:color w:val="auto"/>
              </w:rPr>
            </w:pPr>
          </w:p>
        </w:tc>
        <w:tc>
          <w:tcPr>
            <w:tcW w:w="1200" w:type="dxa"/>
            <w:vAlign w:val="bottom"/>
            <w:tcBorders>
              <w:bottom w:val="single" w:sz="8" w:color="E99D25"/>
            </w:tcBorders>
            <w:gridSpan w:val="2"/>
          </w:tcPr>
          <w:p>
            <w:pPr>
              <w:spacing w:after="0" w:line="20" w:lineRule="exact"/>
              <w:rPr>
                <w:sz w:val="1"/>
                <w:szCs w:val="1"/>
                <w:color w:val="auto"/>
              </w:rPr>
            </w:pPr>
          </w:p>
        </w:tc>
        <w:tc>
          <w:tcPr>
            <w:tcW w:w="660" w:type="dxa"/>
            <w:vAlign w:val="bottom"/>
            <w:tcBorders>
              <w:bottom w:val="single" w:sz="8" w:color="E99D25"/>
            </w:tcBorders>
          </w:tcPr>
          <w:p>
            <w:pPr>
              <w:spacing w:after="0" w:line="20" w:lineRule="exact"/>
              <w:rPr>
                <w:sz w:val="1"/>
                <w:szCs w:val="1"/>
                <w:color w:val="auto"/>
              </w:rPr>
            </w:pPr>
          </w:p>
        </w:tc>
        <w:tc>
          <w:tcPr>
            <w:tcW w:w="60" w:type="dxa"/>
            <w:vAlign w:val="bottom"/>
            <w:tcBorders>
              <w:bottom w:val="single" w:sz="8" w:color="E99D25"/>
            </w:tcBorders>
          </w:tcPr>
          <w:p>
            <w:pPr>
              <w:spacing w:after="0" w:line="20" w:lineRule="exact"/>
              <w:rPr>
                <w:sz w:val="1"/>
                <w:szCs w:val="1"/>
                <w:color w:val="auto"/>
              </w:rPr>
            </w:pPr>
          </w:p>
        </w:tc>
      </w:tr>
      <w:tr>
        <w:trPr>
          <w:trHeight w:val="166"/>
        </w:trPr>
        <w:tc>
          <w:tcPr>
            <w:tcW w:w="2300" w:type="dxa"/>
            <w:vAlign w:val="bottom"/>
            <w:gridSpan w:val="3"/>
          </w:tcPr>
          <w:p>
            <w:pPr>
              <w:ind w:left="20"/>
              <w:spacing w:after="0"/>
              <w:rPr>
                <w:sz w:val="20"/>
                <w:szCs w:val="20"/>
                <w:color w:val="auto"/>
              </w:rPr>
            </w:pPr>
            <w:r>
              <w:rPr>
                <w:rFonts w:ascii="Arial" w:cs="Arial" w:eastAsia="Arial" w:hAnsi="Arial"/>
                <w:sz w:val="12"/>
                <w:szCs w:val="12"/>
                <w:color w:val="3C3C3B"/>
              </w:rPr>
              <w:t>Convertible loans</w:t>
            </w:r>
          </w:p>
        </w:tc>
        <w:tc>
          <w:tcPr>
            <w:tcW w:w="1120" w:type="dxa"/>
            <w:vAlign w:val="bottom"/>
          </w:tcPr>
          <w:p>
            <w:pPr>
              <w:jc w:val="right"/>
              <w:spacing w:after="0"/>
              <w:rPr>
                <w:sz w:val="20"/>
                <w:szCs w:val="20"/>
                <w:color w:val="auto"/>
              </w:rPr>
            </w:pPr>
            <w:r>
              <w:rPr>
                <w:rFonts w:ascii="Arial" w:cs="Arial" w:eastAsia="Arial" w:hAnsi="Arial"/>
                <w:sz w:val="12"/>
                <w:szCs w:val="12"/>
                <w:color w:val="auto"/>
              </w:rPr>
              <w:t>582</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2"/>
                <w:szCs w:val="12"/>
                <w:color w:val="auto"/>
              </w:rPr>
              <w:t>582</w:t>
            </w:r>
          </w:p>
        </w:tc>
        <w:tc>
          <w:tcPr>
            <w:tcW w:w="12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2"/>
          </w:tcPr>
          <w:p>
            <w:pPr>
              <w:jc w:val="right"/>
              <w:ind w:right="178"/>
              <w:spacing w:after="0"/>
              <w:rPr>
                <w:sz w:val="20"/>
                <w:szCs w:val="20"/>
                <w:color w:val="auto"/>
              </w:rPr>
            </w:pPr>
            <w:r>
              <w:rPr>
                <w:rFonts w:ascii="Arial" w:cs="Arial" w:eastAsia="Arial" w:hAnsi="Arial"/>
                <w:sz w:val="12"/>
                <w:szCs w:val="12"/>
                <w:color w:val="auto"/>
              </w:rPr>
              <w:t>588</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6"/>
        </w:trPr>
        <w:tc>
          <w:tcPr>
            <w:tcW w:w="230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79"/>
        </w:trPr>
        <w:tc>
          <w:tcPr>
            <w:tcW w:w="2300" w:type="dxa"/>
            <w:vAlign w:val="bottom"/>
            <w:tcBorders>
              <w:bottom w:val="single" w:sz="8" w:color="FDF5E7"/>
            </w:tcBorders>
            <w:gridSpan w:val="3"/>
            <w:shd w:val="clear" w:color="auto" w:fill="FDF5E7"/>
          </w:tcPr>
          <w:p>
            <w:pPr>
              <w:ind w:left="20"/>
              <w:spacing w:after="0"/>
              <w:rPr>
                <w:sz w:val="20"/>
                <w:szCs w:val="20"/>
                <w:color w:val="auto"/>
              </w:rPr>
            </w:pPr>
            <w:r>
              <w:rPr>
                <w:rFonts w:ascii="Arial" w:cs="Arial" w:eastAsia="Arial" w:hAnsi="Arial"/>
                <w:sz w:val="12"/>
                <w:szCs w:val="12"/>
                <w:color w:val="3C3C3B"/>
              </w:rPr>
              <w:t>Bank loans</w:t>
            </w:r>
          </w:p>
        </w:tc>
        <w:tc>
          <w:tcPr>
            <w:tcW w:w="11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2,076</w:t>
            </w:r>
          </w:p>
        </w:tc>
        <w:tc>
          <w:tcPr>
            <w:tcW w:w="100" w:type="dxa"/>
            <w:vAlign w:val="bottom"/>
            <w:tcBorders>
              <w:bottom w:val="single" w:sz="8" w:color="FDF5E7"/>
            </w:tcBorders>
            <w:shd w:val="clear" w:color="auto" w:fill="FDF5E7"/>
          </w:tcPr>
          <w:p>
            <w:pPr>
              <w:spacing w:after="0"/>
              <w:rPr>
                <w:sz w:val="15"/>
                <w:szCs w:val="15"/>
                <w:color w:val="auto"/>
              </w:rPr>
            </w:pPr>
          </w:p>
        </w:tc>
        <w:tc>
          <w:tcPr>
            <w:tcW w:w="1280" w:type="dxa"/>
            <w:vAlign w:val="bottom"/>
            <w:tcBorders>
              <w:bottom w:val="single" w:sz="8" w:color="FDF5E7"/>
            </w:tcBorders>
            <w:shd w:val="clear" w:color="auto" w:fill="FDF5E7"/>
          </w:tcPr>
          <w:p>
            <w:pPr>
              <w:spacing w:after="0"/>
              <w:rPr>
                <w:sz w:val="15"/>
                <w:szCs w:val="15"/>
                <w:color w:val="auto"/>
              </w:rPr>
            </w:pPr>
          </w:p>
        </w:tc>
        <w:tc>
          <w:tcPr>
            <w:tcW w:w="100" w:type="dxa"/>
            <w:vAlign w:val="bottom"/>
            <w:tcBorders>
              <w:bottom w:val="single" w:sz="8" w:color="FDF5E7"/>
            </w:tcBorders>
            <w:shd w:val="clear" w:color="auto" w:fill="FDF5E7"/>
          </w:tcPr>
          <w:p>
            <w:pPr>
              <w:spacing w:after="0"/>
              <w:rPr>
                <w:sz w:val="15"/>
                <w:szCs w:val="15"/>
                <w:color w:val="auto"/>
              </w:rPr>
            </w:pPr>
          </w:p>
        </w:tc>
        <w:tc>
          <w:tcPr>
            <w:tcW w:w="1200" w:type="dxa"/>
            <w:vAlign w:val="bottom"/>
            <w:tcBorders>
              <w:bottom w:val="single" w:sz="8" w:color="FDF5E7"/>
            </w:tcBorders>
            <w:shd w:val="clear" w:color="auto" w:fill="FDF5E7"/>
          </w:tcPr>
          <w:p>
            <w:pPr>
              <w:spacing w:after="0"/>
              <w:rPr>
                <w:sz w:val="15"/>
                <w:szCs w:val="15"/>
                <w:color w:val="auto"/>
              </w:rPr>
            </w:pPr>
          </w:p>
        </w:tc>
        <w:tc>
          <w:tcPr>
            <w:tcW w:w="100" w:type="dxa"/>
            <w:vAlign w:val="bottom"/>
            <w:tcBorders>
              <w:bottom w:val="single" w:sz="8" w:color="FDF5E7"/>
            </w:tcBorders>
            <w:shd w:val="clear" w:color="auto" w:fill="FDF5E7"/>
          </w:tcPr>
          <w:p>
            <w:pPr>
              <w:spacing w:after="0"/>
              <w:rPr>
                <w:sz w:val="15"/>
                <w:szCs w:val="15"/>
                <w:color w:val="auto"/>
              </w:rPr>
            </w:pPr>
          </w:p>
        </w:tc>
        <w:tc>
          <w:tcPr>
            <w:tcW w:w="1020" w:type="dxa"/>
            <w:vAlign w:val="bottom"/>
            <w:tcBorders>
              <w:bottom w:val="single" w:sz="8" w:color="FDF5E7"/>
              <w:right w:val="single" w:sz="8" w:color="FDF5E7"/>
            </w:tcBorders>
            <w:shd w:val="clear" w:color="auto" w:fill="FDF5E7"/>
          </w:tcPr>
          <w:p>
            <w:pPr>
              <w:spacing w:after="0"/>
              <w:rPr>
                <w:sz w:val="15"/>
                <w:szCs w:val="15"/>
                <w:color w:val="auto"/>
              </w:rPr>
            </w:pPr>
          </w:p>
        </w:tc>
        <w:tc>
          <w:tcPr>
            <w:tcW w:w="1080" w:type="dxa"/>
            <w:vAlign w:val="bottom"/>
            <w:tcBorders>
              <w:bottom w:val="single" w:sz="8" w:color="FDF5E7"/>
            </w:tcBorders>
            <w:gridSpan w:val="3"/>
            <w:shd w:val="clear" w:color="auto" w:fill="FDF5E7"/>
          </w:tcPr>
          <w:p>
            <w:pPr>
              <w:jc w:val="right"/>
              <w:spacing w:after="0"/>
              <w:rPr>
                <w:sz w:val="20"/>
                <w:szCs w:val="20"/>
                <w:color w:val="auto"/>
              </w:rPr>
            </w:pPr>
            <w:r>
              <w:rPr>
                <w:rFonts w:ascii="Arial" w:cs="Arial" w:eastAsia="Arial" w:hAnsi="Arial"/>
                <w:sz w:val="12"/>
                <w:szCs w:val="12"/>
                <w:color w:val="auto"/>
              </w:rPr>
              <w:t>2,076</w:t>
            </w:r>
          </w:p>
        </w:tc>
        <w:tc>
          <w:tcPr>
            <w:tcW w:w="120" w:type="dxa"/>
            <w:vAlign w:val="bottom"/>
            <w:tcBorders>
              <w:bottom w:val="single" w:sz="8" w:color="FDF5E7"/>
              <w:right w:val="single" w:sz="8" w:color="auto"/>
            </w:tcBorders>
            <w:shd w:val="clear" w:color="auto" w:fill="FDF5E7"/>
          </w:tcPr>
          <w:p>
            <w:pPr>
              <w:spacing w:after="0"/>
              <w:rPr>
                <w:sz w:val="15"/>
                <w:szCs w:val="15"/>
                <w:color w:val="auto"/>
              </w:rPr>
            </w:pPr>
          </w:p>
        </w:tc>
        <w:tc>
          <w:tcPr>
            <w:tcW w:w="880" w:type="dxa"/>
            <w:vAlign w:val="bottom"/>
            <w:tcBorders>
              <w:bottom w:val="single" w:sz="8" w:color="FDF5E7"/>
            </w:tcBorders>
            <w:shd w:val="clear" w:color="auto" w:fill="FDF5E7"/>
          </w:tcPr>
          <w:p>
            <w:pPr>
              <w:spacing w:after="0"/>
              <w:rPr>
                <w:sz w:val="15"/>
                <w:szCs w:val="15"/>
                <w:color w:val="auto"/>
              </w:rPr>
            </w:pPr>
          </w:p>
        </w:tc>
        <w:tc>
          <w:tcPr>
            <w:tcW w:w="1200" w:type="dxa"/>
            <w:vAlign w:val="bottom"/>
            <w:tcBorders>
              <w:bottom w:val="single" w:sz="8" w:color="FDF5E7"/>
            </w:tcBorders>
            <w:gridSpan w:val="2"/>
            <w:shd w:val="clear" w:color="auto" w:fill="FDF5E7"/>
          </w:tcPr>
          <w:p>
            <w:pPr>
              <w:jc w:val="right"/>
              <w:ind w:right="178"/>
              <w:spacing w:after="0"/>
              <w:rPr>
                <w:sz w:val="20"/>
                <w:szCs w:val="20"/>
                <w:color w:val="auto"/>
              </w:rPr>
            </w:pPr>
            <w:r>
              <w:rPr>
                <w:rFonts w:ascii="Arial" w:cs="Arial" w:eastAsia="Arial" w:hAnsi="Arial"/>
                <w:sz w:val="12"/>
                <w:szCs w:val="12"/>
                <w:color w:val="auto"/>
              </w:rPr>
              <w:t>2,076</w:t>
            </w:r>
          </w:p>
        </w:tc>
        <w:tc>
          <w:tcPr>
            <w:tcW w:w="660" w:type="dxa"/>
            <w:vAlign w:val="bottom"/>
            <w:tcBorders>
              <w:bottom w:val="single" w:sz="8" w:color="FDF5E7"/>
            </w:tcBorders>
            <w:shd w:val="clear" w:color="auto" w:fill="FDF5E7"/>
          </w:tcPr>
          <w:p>
            <w:pPr>
              <w:spacing w:after="0"/>
              <w:rPr>
                <w:sz w:val="15"/>
                <w:szCs w:val="15"/>
                <w:color w:val="auto"/>
              </w:rPr>
            </w:pPr>
          </w:p>
        </w:tc>
        <w:tc>
          <w:tcPr>
            <w:tcW w:w="60" w:type="dxa"/>
            <w:vAlign w:val="bottom"/>
            <w:tcBorders>
              <w:bottom w:val="single" w:sz="8" w:color="FDF5E7"/>
            </w:tcBorders>
            <w:shd w:val="clear" w:color="auto" w:fill="FDF5E7"/>
          </w:tcPr>
          <w:p>
            <w:pPr>
              <w:spacing w:after="0"/>
              <w:rPr>
                <w:sz w:val="15"/>
                <w:szCs w:val="15"/>
                <w:color w:val="auto"/>
              </w:rPr>
            </w:pPr>
          </w:p>
        </w:tc>
      </w:tr>
      <w:tr>
        <w:trPr>
          <w:trHeight w:val="173"/>
        </w:trPr>
        <w:tc>
          <w:tcPr>
            <w:tcW w:w="2300" w:type="dxa"/>
            <w:vAlign w:val="bottom"/>
            <w:gridSpan w:val="3"/>
          </w:tcPr>
          <w:p>
            <w:pPr>
              <w:ind w:left="20"/>
              <w:spacing w:after="0"/>
              <w:rPr>
                <w:sz w:val="20"/>
                <w:szCs w:val="20"/>
                <w:color w:val="auto"/>
              </w:rPr>
            </w:pPr>
            <w:r>
              <w:rPr>
                <w:rFonts w:ascii="Arial" w:cs="Arial" w:eastAsia="Arial" w:hAnsi="Arial"/>
                <w:sz w:val="12"/>
                <w:szCs w:val="12"/>
                <w:color w:val="3C3C3B"/>
              </w:rPr>
              <w:t>Obligations under finance leases</w:t>
            </w:r>
          </w:p>
        </w:tc>
        <w:tc>
          <w:tcPr>
            <w:tcW w:w="1120" w:type="dxa"/>
            <w:vAlign w:val="bottom"/>
          </w:tcPr>
          <w:p>
            <w:pPr>
              <w:jc w:val="right"/>
              <w:spacing w:after="0"/>
              <w:rPr>
                <w:sz w:val="20"/>
                <w:szCs w:val="20"/>
                <w:color w:val="auto"/>
              </w:rPr>
            </w:pPr>
            <w:r>
              <w:rPr>
                <w:rFonts w:ascii="Arial" w:cs="Arial" w:eastAsia="Arial" w:hAnsi="Arial"/>
                <w:sz w:val="12"/>
                <w:szCs w:val="12"/>
                <w:color w:val="auto"/>
              </w:rPr>
              <w:t>4,652</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2"/>
                <w:szCs w:val="12"/>
                <w:color w:val="auto"/>
              </w:rPr>
              <w:t>4,652</w:t>
            </w:r>
          </w:p>
        </w:tc>
        <w:tc>
          <w:tcPr>
            <w:tcW w:w="12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gridSpan w:val="2"/>
          </w:tcPr>
          <w:p>
            <w:pPr>
              <w:jc w:val="right"/>
              <w:ind w:right="178"/>
              <w:spacing w:after="0"/>
              <w:rPr>
                <w:sz w:val="20"/>
                <w:szCs w:val="20"/>
                <w:color w:val="auto"/>
              </w:rPr>
            </w:pPr>
            <w:r>
              <w:rPr>
                <w:rFonts w:ascii="Arial" w:cs="Arial" w:eastAsia="Arial" w:hAnsi="Arial"/>
                <w:sz w:val="12"/>
                <w:szCs w:val="12"/>
                <w:color w:val="auto"/>
              </w:rPr>
              <w:t>4,652</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6"/>
        </w:trPr>
        <w:tc>
          <w:tcPr>
            <w:tcW w:w="230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79"/>
        </w:trPr>
        <w:tc>
          <w:tcPr>
            <w:tcW w:w="2300" w:type="dxa"/>
            <w:vAlign w:val="bottom"/>
            <w:tcBorders>
              <w:bottom w:val="single" w:sz="8" w:color="FDF5E7"/>
            </w:tcBorders>
            <w:gridSpan w:val="3"/>
            <w:shd w:val="clear" w:color="auto" w:fill="FDF5E7"/>
          </w:tcPr>
          <w:p>
            <w:pPr>
              <w:ind w:left="20"/>
              <w:spacing w:after="0"/>
              <w:rPr>
                <w:sz w:val="20"/>
                <w:szCs w:val="20"/>
                <w:color w:val="auto"/>
              </w:rPr>
            </w:pPr>
            <w:r>
              <w:rPr>
                <w:rFonts w:ascii="Arial" w:cs="Arial" w:eastAsia="Arial" w:hAnsi="Arial"/>
                <w:sz w:val="12"/>
                <w:szCs w:val="12"/>
                <w:color w:val="3C3C3B"/>
              </w:rPr>
              <w:t>Accrued interests</w:t>
            </w:r>
          </w:p>
        </w:tc>
        <w:tc>
          <w:tcPr>
            <w:tcW w:w="11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FDF5E7"/>
            </w:tcBorders>
            <w:shd w:val="clear" w:color="auto" w:fill="FDF5E7"/>
          </w:tcPr>
          <w:p>
            <w:pPr>
              <w:spacing w:after="0"/>
              <w:rPr>
                <w:sz w:val="15"/>
                <w:szCs w:val="15"/>
                <w:color w:val="auto"/>
              </w:rPr>
            </w:pPr>
          </w:p>
        </w:tc>
        <w:tc>
          <w:tcPr>
            <w:tcW w:w="1280" w:type="dxa"/>
            <w:vAlign w:val="bottom"/>
            <w:tcBorders>
              <w:bottom w:val="single" w:sz="8" w:color="FDF5E7"/>
            </w:tcBorders>
            <w:shd w:val="clear" w:color="auto" w:fill="FDF5E7"/>
          </w:tcPr>
          <w:p>
            <w:pPr>
              <w:spacing w:after="0"/>
              <w:rPr>
                <w:sz w:val="15"/>
                <w:szCs w:val="15"/>
                <w:color w:val="auto"/>
              </w:rPr>
            </w:pPr>
          </w:p>
        </w:tc>
        <w:tc>
          <w:tcPr>
            <w:tcW w:w="100" w:type="dxa"/>
            <w:vAlign w:val="bottom"/>
            <w:tcBorders>
              <w:bottom w:val="single" w:sz="8" w:color="FDF5E7"/>
            </w:tcBorders>
            <w:shd w:val="clear" w:color="auto" w:fill="FDF5E7"/>
          </w:tcPr>
          <w:p>
            <w:pPr>
              <w:spacing w:after="0"/>
              <w:rPr>
                <w:sz w:val="15"/>
                <w:szCs w:val="15"/>
                <w:color w:val="auto"/>
              </w:rPr>
            </w:pPr>
          </w:p>
        </w:tc>
        <w:tc>
          <w:tcPr>
            <w:tcW w:w="1200" w:type="dxa"/>
            <w:vAlign w:val="bottom"/>
            <w:tcBorders>
              <w:bottom w:val="single" w:sz="8" w:color="FDF5E7"/>
            </w:tcBorders>
            <w:shd w:val="clear" w:color="auto" w:fill="FDF5E7"/>
          </w:tcPr>
          <w:p>
            <w:pPr>
              <w:spacing w:after="0"/>
              <w:rPr>
                <w:sz w:val="15"/>
                <w:szCs w:val="15"/>
                <w:color w:val="auto"/>
              </w:rPr>
            </w:pPr>
          </w:p>
        </w:tc>
        <w:tc>
          <w:tcPr>
            <w:tcW w:w="100" w:type="dxa"/>
            <w:vAlign w:val="bottom"/>
            <w:tcBorders>
              <w:bottom w:val="single" w:sz="8" w:color="FDF5E7"/>
            </w:tcBorders>
            <w:shd w:val="clear" w:color="auto" w:fill="FDF5E7"/>
          </w:tcPr>
          <w:p>
            <w:pPr>
              <w:spacing w:after="0"/>
              <w:rPr>
                <w:sz w:val="15"/>
                <w:szCs w:val="15"/>
                <w:color w:val="auto"/>
              </w:rPr>
            </w:pPr>
          </w:p>
        </w:tc>
        <w:tc>
          <w:tcPr>
            <w:tcW w:w="1020" w:type="dxa"/>
            <w:vAlign w:val="bottom"/>
            <w:tcBorders>
              <w:bottom w:val="single" w:sz="8" w:color="FDF5E7"/>
              <w:right w:val="single" w:sz="8" w:color="FDF5E7"/>
            </w:tcBorders>
            <w:shd w:val="clear" w:color="auto" w:fill="FDF5E7"/>
          </w:tcPr>
          <w:p>
            <w:pPr>
              <w:spacing w:after="0"/>
              <w:rPr>
                <w:sz w:val="15"/>
                <w:szCs w:val="15"/>
                <w:color w:val="auto"/>
              </w:rPr>
            </w:pPr>
          </w:p>
        </w:tc>
        <w:tc>
          <w:tcPr>
            <w:tcW w:w="1080" w:type="dxa"/>
            <w:vAlign w:val="bottom"/>
            <w:tcBorders>
              <w:bottom w:val="single" w:sz="8" w:color="FDF5E7"/>
            </w:tcBorders>
            <w:gridSpan w:val="3"/>
            <w:shd w:val="clear" w:color="auto" w:fill="FDF5E7"/>
          </w:tcPr>
          <w:p>
            <w:pPr>
              <w:jc w:val="right"/>
              <w:spacing w:after="0"/>
              <w:rPr>
                <w:sz w:val="20"/>
                <w:szCs w:val="20"/>
                <w:color w:val="auto"/>
              </w:rPr>
            </w:pPr>
            <w:r>
              <w:rPr>
                <w:rFonts w:ascii="Arial" w:cs="Arial" w:eastAsia="Arial" w:hAnsi="Arial"/>
                <w:sz w:val="12"/>
                <w:szCs w:val="12"/>
                <w:color w:val="auto"/>
              </w:rPr>
              <w:t>4</w:t>
            </w:r>
          </w:p>
        </w:tc>
        <w:tc>
          <w:tcPr>
            <w:tcW w:w="120" w:type="dxa"/>
            <w:vAlign w:val="bottom"/>
            <w:tcBorders>
              <w:bottom w:val="single" w:sz="8" w:color="FDF5E7"/>
              <w:right w:val="single" w:sz="8" w:color="auto"/>
            </w:tcBorders>
            <w:shd w:val="clear" w:color="auto" w:fill="FDF5E7"/>
          </w:tcPr>
          <w:p>
            <w:pPr>
              <w:spacing w:after="0"/>
              <w:rPr>
                <w:sz w:val="15"/>
                <w:szCs w:val="15"/>
                <w:color w:val="auto"/>
              </w:rPr>
            </w:pPr>
          </w:p>
        </w:tc>
        <w:tc>
          <w:tcPr>
            <w:tcW w:w="880" w:type="dxa"/>
            <w:vAlign w:val="bottom"/>
            <w:tcBorders>
              <w:bottom w:val="single" w:sz="8" w:color="FDF5E7"/>
            </w:tcBorders>
            <w:shd w:val="clear" w:color="auto" w:fill="FDF5E7"/>
          </w:tcPr>
          <w:p>
            <w:pPr>
              <w:spacing w:after="0"/>
              <w:rPr>
                <w:sz w:val="15"/>
                <w:szCs w:val="15"/>
                <w:color w:val="auto"/>
              </w:rPr>
            </w:pPr>
          </w:p>
        </w:tc>
        <w:tc>
          <w:tcPr>
            <w:tcW w:w="1200" w:type="dxa"/>
            <w:vAlign w:val="bottom"/>
            <w:tcBorders>
              <w:bottom w:val="single" w:sz="8" w:color="FDF5E7"/>
            </w:tcBorders>
            <w:gridSpan w:val="2"/>
            <w:shd w:val="clear" w:color="auto" w:fill="FDF5E7"/>
          </w:tcPr>
          <w:p>
            <w:pPr>
              <w:jc w:val="right"/>
              <w:ind w:right="178"/>
              <w:spacing w:after="0"/>
              <w:rPr>
                <w:sz w:val="20"/>
                <w:szCs w:val="20"/>
                <w:color w:val="auto"/>
              </w:rPr>
            </w:pPr>
            <w:r>
              <w:rPr>
                <w:rFonts w:ascii="Arial" w:cs="Arial" w:eastAsia="Arial" w:hAnsi="Arial"/>
                <w:sz w:val="12"/>
                <w:szCs w:val="12"/>
                <w:color w:val="auto"/>
              </w:rPr>
              <w:t>4</w:t>
            </w:r>
          </w:p>
        </w:tc>
        <w:tc>
          <w:tcPr>
            <w:tcW w:w="660" w:type="dxa"/>
            <w:vAlign w:val="bottom"/>
            <w:tcBorders>
              <w:bottom w:val="single" w:sz="8" w:color="FDF5E7"/>
            </w:tcBorders>
            <w:shd w:val="clear" w:color="auto" w:fill="FDF5E7"/>
          </w:tcPr>
          <w:p>
            <w:pPr>
              <w:spacing w:after="0"/>
              <w:rPr>
                <w:sz w:val="15"/>
                <w:szCs w:val="15"/>
                <w:color w:val="auto"/>
              </w:rPr>
            </w:pPr>
          </w:p>
        </w:tc>
        <w:tc>
          <w:tcPr>
            <w:tcW w:w="60" w:type="dxa"/>
            <w:vAlign w:val="bottom"/>
            <w:tcBorders>
              <w:bottom w:val="single" w:sz="8" w:color="FDF5E7"/>
            </w:tcBorders>
            <w:shd w:val="clear" w:color="auto" w:fill="FDF5E7"/>
          </w:tcPr>
          <w:p>
            <w:pPr>
              <w:spacing w:after="0"/>
              <w:rPr>
                <w:sz w:val="15"/>
                <w:szCs w:val="15"/>
                <w:color w:val="auto"/>
              </w:rPr>
            </w:pPr>
          </w:p>
        </w:tc>
      </w:tr>
      <w:tr>
        <w:trPr>
          <w:trHeight w:val="173"/>
        </w:trPr>
        <w:tc>
          <w:tcPr>
            <w:tcW w:w="2300" w:type="dxa"/>
            <w:vAlign w:val="bottom"/>
            <w:gridSpan w:val="3"/>
          </w:tcPr>
          <w:p>
            <w:pPr>
              <w:ind w:left="20"/>
              <w:spacing w:after="0"/>
              <w:rPr>
                <w:sz w:val="20"/>
                <w:szCs w:val="20"/>
                <w:color w:val="auto"/>
              </w:rPr>
            </w:pPr>
            <w:r>
              <w:rPr>
                <w:rFonts w:ascii="Arial" w:cs="Arial" w:eastAsia="Arial" w:hAnsi="Arial"/>
                <w:sz w:val="12"/>
                <w:szCs w:val="12"/>
                <w:color w:val="3C3C3B"/>
              </w:rPr>
              <w:t>Trade payables</w:t>
            </w:r>
          </w:p>
        </w:tc>
        <w:tc>
          <w:tcPr>
            <w:tcW w:w="1120" w:type="dxa"/>
            <w:vAlign w:val="bottom"/>
          </w:tcPr>
          <w:p>
            <w:pPr>
              <w:jc w:val="right"/>
              <w:spacing w:after="0"/>
              <w:rPr>
                <w:sz w:val="20"/>
                <w:szCs w:val="20"/>
                <w:color w:val="auto"/>
              </w:rPr>
            </w:pPr>
            <w:r>
              <w:rPr>
                <w:rFonts w:ascii="Arial" w:cs="Arial" w:eastAsia="Arial" w:hAnsi="Arial"/>
                <w:sz w:val="12"/>
                <w:szCs w:val="12"/>
                <w:color w:val="auto"/>
              </w:rPr>
              <w:t>14,010</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2"/>
                <w:szCs w:val="12"/>
                <w:color w:val="auto"/>
              </w:rPr>
              <w:t>14,010</w:t>
            </w:r>
          </w:p>
        </w:tc>
        <w:tc>
          <w:tcPr>
            <w:tcW w:w="12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gridSpan w:val="2"/>
          </w:tcPr>
          <w:p>
            <w:pPr>
              <w:jc w:val="right"/>
              <w:ind w:right="178"/>
              <w:spacing w:after="0"/>
              <w:rPr>
                <w:sz w:val="20"/>
                <w:szCs w:val="20"/>
                <w:color w:val="auto"/>
              </w:rPr>
            </w:pPr>
            <w:r>
              <w:rPr>
                <w:rFonts w:ascii="Arial" w:cs="Arial" w:eastAsia="Arial" w:hAnsi="Arial"/>
                <w:sz w:val="12"/>
                <w:szCs w:val="12"/>
                <w:color w:val="auto"/>
              </w:rPr>
              <w:t>14,010</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6"/>
        </w:trPr>
        <w:tc>
          <w:tcPr>
            <w:tcW w:w="230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4"/>
        </w:trPr>
        <w:tc>
          <w:tcPr>
            <w:tcW w:w="2300" w:type="dxa"/>
            <w:vAlign w:val="bottom"/>
            <w:gridSpan w:val="3"/>
            <w:shd w:val="clear" w:color="auto" w:fill="FDF5E7"/>
          </w:tcPr>
          <w:p>
            <w:pPr>
              <w:ind w:left="20"/>
              <w:spacing w:after="0"/>
              <w:rPr>
                <w:sz w:val="20"/>
                <w:szCs w:val="20"/>
                <w:color w:val="auto"/>
              </w:rPr>
            </w:pPr>
            <w:r>
              <w:rPr>
                <w:rFonts w:ascii="Arial" w:cs="Arial" w:eastAsia="Arial" w:hAnsi="Arial"/>
                <w:sz w:val="12"/>
                <w:szCs w:val="12"/>
                <w:color w:val="3C3C3B"/>
              </w:rPr>
              <w:t>Liability from royalty financing</w:t>
            </w:r>
          </w:p>
        </w:tc>
        <w:tc>
          <w:tcPr>
            <w:tcW w:w="1120" w:type="dxa"/>
            <w:vAlign w:val="bottom"/>
            <w:shd w:val="clear" w:color="auto" w:fill="FDF5E7"/>
          </w:tcPr>
          <w:p>
            <w:pPr>
              <w:spacing w:after="0"/>
              <w:rPr>
                <w:sz w:val="13"/>
                <w:szCs w:val="13"/>
                <w:color w:val="auto"/>
              </w:rPr>
            </w:pPr>
          </w:p>
        </w:tc>
        <w:tc>
          <w:tcPr>
            <w:tcW w:w="100" w:type="dxa"/>
            <w:vAlign w:val="bottom"/>
            <w:shd w:val="clear" w:color="auto" w:fill="FDF5E7"/>
          </w:tcPr>
          <w:p>
            <w:pPr>
              <w:spacing w:after="0"/>
              <w:rPr>
                <w:sz w:val="13"/>
                <w:szCs w:val="13"/>
                <w:color w:val="auto"/>
              </w:rPr>
            </w:pPr>
          </w:p>
        </w:tc>
        <w:tc>
          <w:tcPr>
            <w:tcW w:w="1280" w:type="dxa"/>
            <w:vAlign w:val="bottom"/>
            <w:shd w:val="clear" w:color="auto" w:fill="FDF5E7"/>
          </w:tcPr>
          <w:p>
            <w:pPr>
              <w:spacing w:after="0"/>
              <w:rPr>
                <w:sz w:val="13"/>
                <w:szCs w:val="13"/>
                <w:color w:val="auto"/>
              </w:rPr>
            </w:pPr>
          </w:p>
        </w:tc>
        <w:tc>
          <w:tcPr>
            <w:tcW w:w="100" w:type="dxa"/>
            <w:vAlign w:val="bottom"/>
            <w:shd w:val="clear" w:color="auto" w:fill="FDF5E7"/>
          </w:tcPr>
          <w:p>
            <w:pPr>
              <w:spacing w:after="0"/>
              <w:rPr>
                <w:sz w:val="13"/>
                <w:szCs w:val="13"/>
                <w:color w:val="auto"/>
              </w:rPr>
            </w:pPr>
          </w:p>
        </w:tc>
        <w:tc>
          <w:tcPr>
            <w:tcW w:w="1200" w:type="dxa"/>
            <w:vAlign w:val="bottom"/>
            <w:shd w:val="clear" w:color="auto" w:fill="FDF5E7"/>
          </w:tcPr>
          <w:p>
            <w:pPr>
              <w:spacing w:after="0"/>
              <w:rPr>
                <w:sz w:val="13"/>
                <w:szCs w:val="13"/>
                <w:color w:val="auto"/>
              </w:rPr>
            </w:pPr>
          </w:p>
        </w:tc>
        <w:tc>
          <w:tcPr>
            <w:tcW w:w="100" w:type="dxa"/>
            <w:vAlign w:val="bottom"/>
            <w:shd w:val="clear" w:color="auto" w:fill="FDF5E7"/>
          </w:tcPr>
          <w:p>
            <w:pPr>
              <w:spacing w:after="0"/>
              <w:rPr>
                <w:sz w:val="13"/>
                <w:szCs w:val="13"/>
                <w:color w:val="auto"/>
              </w:rPr>
            </w:pPr>
          </w:p>
        </w:tc>
        <w:tc>
          <w:tcPr>
            <w:tcW w:w="1020" w:type="dxa"/>
            <w:vAlign w:val="bottom"/>
            <w:tcBorders>
              <w:right w:val="single" w:sz="8" w:color="FDF5E7"/>
            </w:tcBorders>
            <w:shd w:val="clear" w:color="auto" w:fill="FDF5E7"/>
          </w:tcPr>
          <w:p>
            <w:pPr>
              <w:spacing w:after="0"/>
              <w:rPr>
                <w:sz w:val="13"/>
                <w:szCs w:val="13"/>
                <w:color w:val="auto"/>
              </w:rPr>
            </w:pPr>
          </w:p>
        </w:tc>
        <w:tc>
          <w:tcPr>
            <w:tcW w:w="80" w:type="dxa"/>
            <w:vAlign w:val="bottom"/>
            <w:shd w:val="clear" w:color="auto" w:fill="FDF5E7"/>
          </w:tcPr>
          <w:p>
            <w:pPr>
              <w:spacing w:after="0"/>
              <w:rPr>
                <w:sz w:val="13"/>
                <w:szCs w:val="13"/>
                <w:color w:val="auto"/>
              </w:rPr>
            </w:pPr>
          </w:p>
        </w:tc>
        <w:tc>
          <w:tcPr>
            <w:tcW w:w="540" w:type="dxa"/>
            <w:vAlign w:val="bottom"/>
            <w:tcBorders>
              <w:right w:val="single" w:sz="8" w:color="FDF5E7"/>
            </w:tcBorders>
            <w:shd w:val="clear" w:color="auto" w:fill="FDF5E7"/>
          </w:tcPr>
          <w:p>
            <w:pPr>
              <w:spacing w:after="0"/>
              <w:rPr>
                <w:sz w:val="13"/>
                <w:szCs w:val="13"/>
                <w:color w:val="auto"/>
              </w:rPr>
            </w:pPr>
          </w:p>
        </w:tc>
        <w:tc>
          <w:tcPr>
            <w:tcW w:w="460" w:type="dxa"/>
            <w:vAlign w:val="bottom"/>
            <w:shd w:val="clear" w:color="auto" w:fill="FDF5E7"/>
          </w:tcPr>
          <w:p>
            <w:pPr>
              <w:spacing w:after="0"/>
              <w:rPr>
                <w:sz w:val="13"/>
                <w:szCs w:val="13"/>
                <w:color w:val="auto"/>
              </w:rPr>
            </w:pPr>
          </w:p>
        </w:tc>
        <w:tc>
          <w:tcPr>
            <w:tcW w:w="120" w:type="dxa"/>
            <w:vAlign w:val="bottom"/>
            <w:tcBorders>
              <w:right w:val="single" w:sz="8" w:color="auto"/>
            </w:tcBorders>
            <w:shd w:val="clear" w:color="auto" w:fill="FDF5E7"/>
          </w:tcPr>
          <w:p>
            <w:pPr>
              <w:spacing w:after="0"/>
              <w:rPr>
                <w:sz w:val="13"/>
                <w:szCs w:val="13"/>
                <w:color w:val="auto"/>
              </w:rPr>
            </w:pPr>
          </w:p>
        </w:tc>
        <w:tc>
          <w:tcPr>
            <w:tcW w:w="880" w:type="dxa"/>
            <w:vAlign w:val="bottom"/>
            <w:shd w:val="clear" w:color="auto" w:fill="FDF5E7"/>
          </w:tcPr>
          <w:p>
            <w:pPr>
              <w:spacing w:after="0"/>
              <w:rPr>
                <w:sz w:val="13"/>
                <w:szCs w:val="13"/>
                <w:color w:val="auto"/>
              </w:rPr>
            </w:pPr>
          </w:p>
        </w:tc>
        <w:tc>
          <w:tcPr>
            <w:tcW w:w="120" w:type="dxa"/>
            <w:vAlign w:val="bottom"/>
            <w:shd w:val="clear" w:color="auto" w:fill="FDF5E7"/>
          </w:tcPr>
          <w:p>
            <w:pPr>
              <w:spacing w:after="0"/>
              <w:rPr>
                <w:sz w:val="13"/>
                <w:szCs w:val="13"/>
                <w:color w:val="auto"/>
              </w:rPr>
            </w:pPr>
          </w:p>
        </w:tc>
        <w:tc>
          <w:tcPr>
            <w:tcW w:w="1080" w:type="dxa"/>
            <w:vAlign w:val="bottom"/>
            <w:shd w:val="clear" w:color="auto" w:fill="FDF5E7"/>
          </w:tcPr>
          <w:p>
            <w:pPr>
              <w:spacing w:after="0"/>
              <w:rPr>
                <w:sz w:val="13"/>
                <w:szCs w:val="13"/>
                <w:color w:val="auto"/>
              </w:rPr>
            </w:pPr>
          </w:p>
        </w:tc>
        <w:tc>
          <w:tcPr>
            <w:tcW w:w="660" w:type="dxa"/>
            <w:vAlign w:val="bottom"/>
            <w:shd w:val="clear" w:color="auto" w:fill="FDF5E7"/>
          </w:tcPr>
          <w:p>
            <w:pPr>
              <w:spacing w:after="0"/>
              <w:rPr>
                <w:sz w:val="13"/>
                <w:szCs w:val="13"/>
                <w:color w:val="auto"/>
              </w:rPr>
            </w:pPr>
          </w:p>
        </w:tc>
        <w:tc>
          <w:tcPr>
            <w:tcW w:w="60" w:type="dxa"/>
            <w:vAlign w:val="bottom"/>
            <w:shd w:val="clear" w:color="auto" w:fill="FDF5E7"/>
          </w:tcPr>
          <w:p>
            <w:pPr>
              <w:spacing w:after="0"/>
              <w:rPr>
                <w:sz w:val="13"/>
                <w:szCs w:val="13"/>
                <w:color w:val="auto"/>
              </w:rPr>
            </w:pPr>
          </w:p>
        </w:tc>
      </w:tr>
      <w:tr>
        <w:trPr>
          <w:trHeight w:val="170"/>
        </w:trPr>
        <w:tc>
          <w:tcPr>
            <w:tcW w:w="2300" w:type="dxa"/>
            <w:vAlign w:val="bottom"/>
            <w:tcBorders>
              <w:bottom w:val="single" w:sz="8" w:color="FDF5E7"/>
            </w:tcBorders>
            <w:gridSpan w:val="3"/>
            <w:shd w:val="clear" w:color="auto" w:fill="FDF5E7"/>
          </w:tcPr>
          <w:p>
            <w:pPr>
              <w:ind w:left="20"/>
              <w:spacing w:after="0"/>
              <w:rPr>
                <w:sz w:val="20"/>
                <w:szCs w:val="20"/>
                <w:color w:val="auto"/>
              </w:rPr>
            </w:pPr>
            <w:r>
              <w:rPr>
                <w:rFonts w:ascii="Arial" w:cs="Arial" w:eastAsia="Arial" w:hAnsi="Arial"/>
                <w:sz w:val="12"/>
                <w:szCs w:val="12"/>
                <w:color w:val="3C3C3B"/>
              </w:rPr>
              <w:t>agreement</w:t>
            </w:r>
          </w:p>
        </w:tc>
        <w:tc>
          <w:tcPr>
            <w:tcW w:w="1120" w:type="dxa"/>
            <w:vAlign w:val="bottom"/>
            <w:tcBorders>
              <w:bottom w:val="single" w:sz="8" w:color="FDF5E7"/>
            </w:tcBorders>
            <w:shd w:val="clear" w:color="auto" w:fill="FDF5E7"/>
          </w:tcPr>
          <w:p>
            <w:pPr>
              <w:jc w:val="right"/>
              <w:spacing w:after="0"/>
              <w:rPr>
                <w:sz w:val="20"/>
                <w:szCs w:val="20"/>
                <w:color w:val="auto"/>
              </w:rPr>
            </w:pPr>
            <w:r>
              <w:rPr>
                <w:rFonts w:ascii="Arial" w:cs="Arial" w:eastAsia="Arial" w:hAnsi="Arial"/>
                <w:sz w:val="12"/>
                <w:szCs w:val="12"/>
                <w:color w:val="auto"/>
              </w:rPr>
              <w:t>131,599</w:t>
            </w:r>
          </w:p>
        </w:tc>
        <w:tc>
          <w:tcPr>
            <w:tcW w:w="1380" w:type="dxa"/>
            <w:vAlign w:val="bottom"/>
            <w:tcBorders>
              <w:bottom w:val="single" w:sz="8" w:color="FDF5E7"/>
            </w:tcBorders>
            <w:gridSpan w:val="2"/>
            <w:shd w:val="clear" w:color="auto" w:fill="FDF5E7"/>
          </w:tcPr>
          <w:p>
            <w:pPr>
              <w:jc w:val="right"/>
              <w:spacing w:after="0"/>
              <w:rPr>
                <w:sz w:val="20"/>
                <w:szCs w:val="20"/>
                <w:color w:val="auto"/>
              </w:rPr>
            </w:pPr>
            <w:r>
              <w:rPr>
                <w:rFonts w:ascii="Arial" w:cs="Arial" w:eastAsia="Arial" w:hAnsi="Arial"/>
                <w:sz w:val="12"/>
                <w:szCs w:val="12"/>
                <w:color w:val="auto"/>
              </w:rPr>
              <w:t>131,599</w:t>
            </w:r>
          </w:p>
        </w:tc>
        <w:tc>
          <w:tcPr>
            <w:tcW w:w="100" w:type="dxa"/>
            <w:vAlign w:val="bottom"/>
            <w:tcBorders>
              <w:bottom w:val="single" w:sz="8" w:color="FDF5E7"/>
            </w:tcBorders>
            <w:shd w:val="clear" w:color="auto" w:fill="FDF5E7"/>
          </w:tcPr>
          <w:p>
            <w:pPr>
              <w:spacing w:after="0"/>
              <w:rPr>
                <w:sz w:val="14"/>
                <w:szCs w:val="14"/>
                <w:color w:val="auto"/>
              </w:rPr>
            </w:pPr>
          </w:p>
        </w:tc>
        <w:tc>
          <w:tcPr>
            <w:tcW w:w="1200" w:type="dxa"/>
            <w:vAlign w:val="bottom"/>
            <w:tcBorders>
              <w:bottom w:val="single" w:sz="8" w:color="FDF5E7"/>
            </w:tcBorders>
            <w:shd w:val="clear" w:color="auto" w:fill="FDF5E7"/>
          </w:tcPr>
          <w:p>
            <w:pPr>
              <w:spacing w:after="0"/>
              <w:rPr>
                <w:sz w:val="14"/>
                <w:szCs w:val="14"/>
                <w:color w:val="auto"/>
              </w:rPr>
            </w:pPr>
          </w:p>
        </w:tc>
        <w:tc>
          <w:tcPr>
            <w:tcW w:w="100" w:type="dxa"/>
            <w:vAlign w:val="bottom"/>
            <w:tcBorders>
              <w:bottom w:val="single" w:sz="8" w:color="FDF5E7"/>
            </w:tcBorders>
            <w:shd w:val="clear" w:color="auto" w:fill="FDF5E7"/>
          </w:tcPr>
          <w:p>
            <w:pPr>
              <w:spacing w:after="0"/>
              <w:rPr>
                <w:sz w:val="14"/>
                <w:szCs w:val="14"/>
                <w:color w:val="auto"/>
              </w:rPr>
            </w:pPr>
          </w:p>
        </w:tc>
        <w:tc>
          <w:tcPr>
            <w:tcW w:w="1020" w:type="dxa"/>
            <w:vAlign w:val="bottom"/>
            <w:tcBorders>
              <w:bottom w:val="single" w:sz="8" w:color="FDF5E7"/>
              <w:right w:val="single" w:sz="8" w:color="FDF5E7"/>
            </w:tcBorders>
            <w:shd w:val="clear" w:color="auto" w:fill="FDF5E7"/>
          </w:tcPr>
          <w:p>
            <w:pPr>
              <w:spacing w:after="0"/>
              <w:rPr>
                <w:sz w:val="14"/>
                <w:szCs w:val="14"/>
                <w:color w:val="auto"/>
              </w:rPr>
            </w:pPr>
          </w:p>
        </w:tc>
        <w:tc>
          <w:tcPr>
            <w:tcW w:w="80" w:type="dxa"/>
            <w:vAlign w:val="bottom"/>
            <w:tcBorders>
              <w:bottom w:val="single" w:sz="8" w:color="FDF5E7"/>
            </w:tcBorders>
            <w:shd w:val="clear" w:color="auto" w:fill="FDF5E7"/>
          </w:tcPr>
          <w:p>
            <w:pPr>
              <w:spacing w:after="0"/>
              <w:rPr>
                <w:sz w:val="14"/>
                <w:szCs w:val="14"/>
                <w:color w:val="auto"/>
              </w:rPr>
            </w:pPr>
          </w:p>
        </w:tc>
        <w:tc>
          <w:tcPr>
            <w:tcW w:w="540" w:type="dxa"/>
            <w:vAlign w:val="bottom"/>
            <w:tcBorders>
              <w:bottom w:val="single" w:sz="8" w:color="FDF5E7"/>
              <w:right w:val="single" w:sz="8" w:color="FDF5E7"/>
            </w:tcBorders>
            <w:shd w:val="clear" w:color="auto" w:fill="FDF5E7"/>
          </w:tcPr>
          <w:p>
            <w:pPr>
              <w:spacing w:after="0"/>
              <w:rPr>
                <w:sz w:val="14"/>
                <w:szCs w:val="14"/>
                <w:color w:val="auto"/>
              </w:rPr>
            </w:pPr>
          </w:p>
        </w:tc>
        <w:tc>
          <w:tcPr>
            <w:tcW w:w="460" w:type="dxa"/>
            <w:vAlign w:val="bottom"/>
            <w:tcBorders>
              <w:bottom w:val="single" w:sz="8" w:color="FDF5E7"/>
            </w:tcBorders>
            <w:shd w:val="clear" w:color="auto" w:fill="FDF5E7"/>
          </w:tcPr>
          <w:p>
            <w:pPr>
              <w:spacing w:after="0"/>
              <w:rPr>
                <w:sz w:val="14"/>
                <w:szCs w:val="14"/>
                <w:color w:val="auto"/>
              </w:rPr>
            </w:pPr>
          </w:p>
        </w:tc>
        <w:tc>
          <w:tcPr>
            <w:tcW w:w="120" w:type="dxa"/>
            <w:vAlign w:val="bottom"/>
            <w:tcBorders>
              <w:bottom w:val="single" w:sz="8" w:color="FDF5E7"/>
              <w:right w:val="single" w:sz="8" w:color="auto"/>
            </w:tcBorders>
            <w:shd w:val="clear" w:color="auto" w:fill="FDF5E7"/>
          </w:tcPr>
          <w:p>
            <w:pPr>
              <w:spacing w:after="0"/>
              <w:rPr>
                <w:sz w:val="14"/>
                <w:szCs w:val="14"/>
                <w:color w:val="auto"/>
              </w:rPr>
            </w:pPr>
          </w:p>
        </w:tc>
        <w:tc>
          <w:tcPr>
            <w:tcW w:w="880" w:type="dxa"/>
            <w:vAlign w:val="bottom"/>
            <w:tcBorders>
              <w:bottom w:val="single" w:sz="8" w:color="FDF5E7"/>
            </w:tcBorders>
            <w:shd w:val="clear" w:color="auto" w:fill="FDF5E7"/>
          </w:tcPr>
          <w:p>
            <w:pPr>
              <w:spacing w:after="0"/>
              <w:rPr>
                <w:sz w:val="14"/>
                <w:szCs w:val="14"/>
                <w:color w:val="auto"/>
              </w:rPr>
            </w:pPr>
          </w:p>
        </w:tc>
        <w:tc>
          <w:tcPr>
            <w:tcW w:w="120" w:type="dxa"/>
            <w:vAlign w:val="bottom"/>
            <w:tcBorders>
              <w:bottom w:val="single" w:sz="8" w:color="FDF5E7"/>
            </w:tcBorders>
            <w:shd w:val="clear" w:color="auto" w:fill="FDF5E7"/>
          </w:tcPr>
          <w:p>
            <w:pPr>
              <w:spacing w:after="0"/>
              <w:rPr>
                <w:sz w:val="14"/>
                <w:szCs w:val="14"/>
                <w:color w:val="auto"/>
              </w:rPr>
            </w:pPr>
          </w:p>
        </w:tc>
        <w:tc>
          <w:tcPr>
            <w:tcW w:w="1080" w:type="dxa"/>
            <w:vAlign w:val="bottom"/>
            <w:tcBorders>
              <w:bottom w:val="single" w:sz="8" w:color="FDF5E7"/>
            </w:tcBorders>
            <w:shd w:val="clear" w:color="auto" w:fill="FDF5E7"/>
          </w:tcPr>
          <w:p>
            <w:pPr>
              <w:spacing w:after="0"/>
              <w:rPr>
                <w:sz w:val="14"/>
                <w:szCs w:val="14"/>
                <w:color w:val="auto"/>
              </w:rPr>
            </w:pPr>
          </w:p>
        </w:tc>
        <w:tc>
          <w:tcPr>
            <w:tcW w:w="720" w:type="dxa"/>
            <w:vAlign w:val="bottom"/>
            <w:tcBorders>
              <w:bottom w:val="single" w:sz="8" w:color="FDF5E7"/>
            </w:tcBorders>
            <w:gridSpan w:val="2"/>
            <w:shd w:val="clear" w:color="auto" w:fill="FDF5E7"/>
          </w:tcPr>
          <w:p>
            <w:pPr>
              <w:jc w:val="right"/>
              <w:ind w:right="60"/>
              <w:spacing w:after="0"/>
              <w:rPr>
                <w:sz w:val="20"/>
                <w:szCs w:val="20"/>
                <w:color w:val="auto"/>
              </w:rPr>
            </w:pPr>
            <w:r>
              <w:rPr>
                <w:rFonts w:ascii="Arial" w:cs="Arial" w:eastAsia="Arial" w:hAnsi="Arial"/>
                <w:sz w:val="12"/>
                <w:szCs w:val="12"/>
                <w:color w:val="auto"/>
              </w:rPr>
              <w:t>131,599</w:t>
            </w:r>
          </w:p>
        </w:tc>
      </w:tr>
      <w:tr>
        <w:trPr>
          <w:trHeight w:val="173"/>
        </w:trPr>
        <w:tc>
          <w:tcPr>
            <w:tcW w:w="2300" w:type="dxa"/>
            <w:vAlign w:val="bottom"/>
            <w:gridSpan w:val="3"/>
          </w:tcPr>
          <w:p>
            <w:pPr>
              <w:ind w:left="20"/>
              <w:spacing w:after="0"/>
              <w:rPr>
                <w:sz w:val="20"/>
                <w:szCs w:val="20"/>
                <w:color w:val="auto"/>
              </w:rPr>
            </w:pPr>
            <w:r>
              <w:rPr>
                <w:rFonts w:ascii="Arial" w:cs="Arial" w:eastAsia="Arial" w:hAnsi="Arial"/>
                <w:sz w:val="12"/>
                <w:szCs w:val="12"/>
                <w:color w:val="3C3C3B"/>
              </w:rPr>
              <w:t>Other payables</w:t>
            </w:r>
          </w:p>
        </w:tc>
        <w:tc>
          <w:tcPr>
            <w:tcW w:w="1120" w:type="dxa"/>
            <w:vAlign w:val="bottom"/>
          </w:tcPr>
          <w:p>
            <w:pPr>
              <w:jc w:val="right"/>
              <w:spacing w:after="0"/>
              <w:rPr>
                <w:sz w:val="20"/>
                <w:szCs w:val="20"/>
                <w:color w:val="auto"/>
              </w:rPr>
            </w:pPr>
            <w:r>
              <w:rPr>
                <w:rFonts w:ascii="Arial" w:cs="Arial" w:eastAsia="Arial" w:hAnsi="Arial"/>
                <w:sz w:val="12"/>
                <w:szCs w:val="12"/>
                <w:color w:val="auto"/>
              </w:rPr>
              <w:t>205</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2"/>
                <w:szCs w:val="12"/>
                <w:color w:val="auto"/>
              </w:rPr>
              <w:t>205</w:t>
            </w:r>
          </w:p>
        </w:tc>
        <w:tc>
          <w:tcPr>
            <w:tcW w:w="12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gridSpan w:val="2"/>
          </w:tcPr>
          <w:p>
            <w:pPr>
              <w:jc w:val="right"/>
              <w:ind w:right="178"/>
              <w:spacing w:after="0"/>
              <w:rPr>
                <w:sz w:val="20"/>
                <w:szCs w:val="20"/>
                <w:color w:val="auto"/>
              </w:rPr>
            </w:pPr>
            <w:r>
              <w:rPr>
                <w:rFonts w:ascii="Arial" w:cs="Arial" w:eastAsia="Arial" w:hAnsi="Arial"/>
                <w:sz w:val="12"/>
                <w:szCs w:val="12"/>
                <w:color w:val="auto"/>
              </w:rPr>
              <w:t>205</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6"/>
        </w:trPr>
        <w:tc>
          <w:tcPr>
            <w:tcW w:w="23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r>
      <w:tr>
        <w:trPr>
          <w:trHeight w:val="172"/>
        </w:trPr>
        <w:tc>
          <w:tcPr>
            <w:tcW w:w="2300" w:type="dxa"/>
            <w:vAlign w:val="bottom"/>
            <w:gridSpan w:val="3"/>
          </w:tcPr>
          <w:p>
            <w:pPr>
              <w:ind w:left="20"/>
              <w:spacing w:after="0"/>
              <w:rPr>
                <w:sz w:val="20"/>
                <w:szCs w:val="20"/>
                <w:color w:val="auto"/>
              </w:rPr>
            </w:pPr>
            <w:r>
              <w:rPr>
                <w:rFonts w:ascii="Arial" w:cs="Arial" w:eastAsia="Arial" w:hAnsi="Arial"/>
                <w:sz w:val="12"/>
                <w:szCs w:val="12"/>
                <w:b w:val="1"/>
                <w:bCs w:val="1"/>
                <w:color w:val="E99D25"/>
              </w:rPr>
              <w:t>TOTAL - Liabilities</w:t>
            </w:r>
          </w:p>
        </w:tc>
        <w:tc>
          <w:tcPr>
            <w:tcW w:w="1120" w:type="dxa"/>
            <w:vAlign w:val="bottom"/>
          </w:tcPr>
          <w:p>
            <w:pPr>
              <w:jc w:val="right"/>
              <w:spacing w:after="0"/>
              <w:rPr>
                <w:sz w:val="20"/>
                <w:szCs w:val="20"/>
                <w:color w:val="auto"/>
              </w:rPr>
            </w:pPr>
            <w:r>
              <w:rPr>
                <w:rFonts w:ascii="Arial" w:cs="Arial" w:eastAsia="Arial" w:hAnsi="Arial"/>
                <w:sz w:val="12"/>
                <w:szCs w:val="12"/>
                <w:b w:val="1"/>
                <w:bCs w:val="1"/>
                <w:color w:val="E99D25"/>
              </w:rPr>
              <w:t>153,128</w:t>
            </w:r>
          </w:p>
        </w:tc>
        <w:tc>
          <w:tcPr>
            <w:tcW w:w="1380" w:type="dxa"/>
            <w:vAlign w:val="bottom"/>
            <w:gridSpan w:val="2"/>
          </w:tcPr>
          <w:p>
            <w:pPr>
              <w:jc w:val="right"/>
              <w:spacing w:after="0"/>
              <w:rPr>
                <w:sz w:val="20"/>
                <w:szCs w:val="20"/>
                <w:color w:val="auto"/>
              </w:rPr>
            </w:pPr>
            <w:r>
              <w:rPr>
                <w:rFonts w:ascii="Arial" w:cs="Arial" w:eastAsia="Arial" w:hAnsi="Arial"/>
                <w:sz w:val="12"/>
                <w:szCs w:val="12"/>
                <w:b w:val="1"/>
                <w:bCs w:val="1"/>
                <w:color w:val="E99D25"/>
              </w:rPr>
              <w:t>131,599</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E99D25"/>
              </w:rPr>
              <w:t>—</w:t>
            </w:r>
          </w:p>
        </w:tc>
        <w:tc>
          <w:tcPr>
            <w:tcW w:w="100" w:type="dxa"/>
            <w:vAlign w:val="bottom"/>
          </w:tcPr>
          <w:p>
            <w:pPr>
              <w:spacing w:after="0"/>
              <w:rPr>
                <w:sz w:val="14"/>
                <w:szCs w:val="14"/>
                <w:color w:val="auto"/>
              </w:rPr>
            </w:pPr>
          </w:p>
        </w:tc>
        <w:tc>
          <w:tcPr>
            <w:tcW w:w="1020" w:type="dxa"/>
            <w:vAlign w:val="bottom"/>
          </w:tcPr>
          <w:p>
            <w:pPr>
              <w:jc w:val="right"/>
              <w:ind w:right="18"/>
              <w:spacing w:after="0"/>
              <w:rPr>
                <w:sz w:val="20"/>
                <w:szCs w:val="20"/>
                <w:color w:val="auto"/>
              </w:rPr>
            </w:pPr>
            <w:r>
              <w:rPr>
                <w:rFonts w:ascii="Arial" w:cs="Arial" w:eastAsia="Arial" w:hAnsi="Arial"/>
                <w:sz w:val="12"/>
                <w:szCs w:val="12"/>
                <w:b w:val="1"/>
                <w:bCs w:val="1"/>
                <w:color w:val="E99D25"/>
              </w:rPr>
              <w:t>—</w:t>
            </w:r>
          </w:p>
        </w:tc>
        <w:tc>
          <w:tcPr>
            <w:tcW w:w="1080" w:type="dxa"/>
            <w:vAlign w:val="bottom"/>
            <w:gridSpan w:val="3"/>
          </w:tcPr>
          <w:p>
            <w:pPr>
              <w:jc w:val="right"/>
              <w:spacing w:after="0"/>
              <w:rPr>
                <w:sz w:val="20"/>
                <w:szCs w:val="20"/>
                <w:color w:val="auto"/>
              </w:rPr>
            </w:pPr>
            <w:r>
              <w:rPr>
                <w:rFonts w:ascii="Arial" w:cs="Arial" w:eastAsia="Arial" w:hAnsi="Arial"/>
                <w:sz w:val="12"/>
                <w:szCs w:val="12"/>
                <w:b w:val="1"/>
                <w:bCs w:val="1"/>
                <w:color w:val="E99D25"/>
              </w:rPr>
              <w:t>21,529</w:t>
            </w:r>
          </w:p>
        </w:tc>
        <w:tc>
          <w:tcPr>
            <w:tcW w:w="120" w:type="dxa"/>
            <w:vAlign w:val="bottom"/>
            <w:tcBorders>
              <w:right w:val="single" w:sz="8" w:color="auto"/>
            </w:tcBorders>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E99D25"/>
              </w:rPr>
              <w:t>—</w:t>
            </w:r>
          </w:p>
        </w:tc>
        <w:tc>
          <w:tcPr>
            <w:tcW w:w="1200" w:type="dxa"/>
            <w:vAlign w:val="bottom"/>
            <w:gridSpan w:val="2"/>
          </w:tcPr>
          <w:p>
            <w:pPr>
              <w:jc w:val="right"/>
              <w:ind w:right="178"/>
              <w:spacing w:after="0"/>
              <w:rPr>
                <w:sz w:val="20"/>
                <w:szCs w:val="20"/>
                <w:color w:val="auto"/>
              </w:rPr>
            </w:pPr>
            <w:r>
              <w:rPr>
                <w:rFonts w:ascii="Arial" w:cs="Arial" w:eastAsia="Arial" w:hAnsi="Arial"/>
                <w:sz w:val="12"/>
                <w:szCs w:val="12"/>
                <w:b w:val="1"/>
                <w:bCs w:val="1"/>
                <w:color w:val="E99D25"/>
              </w:rPr>
              <w:t>21,536</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E99D25"/>
              </w:rPr>
              <w:t>131,599</w:t>
            </w: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00" w:hanging="494"/>
        <w:spacing w:after="0"/>
        <w:tabs>
          <w:tab w:leader="none" w:pos="500" w:val="left"/>
        </w:tabs>
        <w:numPr>
          <w:ilvl w:val="0"/>
          <w:numId w:val="67"/>
        </w:numPr>
        <w:rPr>
          <w:rFonts w:ascii="Arial" w:cs="Arial" w:eastAsia="Arial" w:hAnsi="Arial"/>
          <w:sz w:val="16"/>
          <w:szCs w:val="16"/>
          <w:b w:val="1"/>
          <w:bCs w:val="1"/>
          <w:color w:val="E99D25"/>
        </w:rPr>
      </w:pPr>
      <w:r>
        <w:rPr>
          <w:rFonts w:ascii="Arial" w:cs="Arial" w:eastAsia="Arial" w:hAnsi="Arial"/>
          <w:sz w:val="16"/>
          <w:szCs w:val="16"/>
          <w:b w:val="1"/>
          <w:bCs w:val="1"/>
          <w:color w:val="E99D25"/>
        </w:rPr>
        <w:t>LITIGATION</w:t>
      </w:r>
    </w:p>
    <w:p>
      <w:pPr>
        <w:spacing w:after="0" w:line="277"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Not applicable.</w:t>
      </w:r>
    </w:p>
    <w:p>
      <w:pPr>
        <w:spacing w:after="0" w:line="322"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9"/>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40</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sectPr>
      </w:pPr>
    </w:p>
    <w:bookmarkStart w:id="46" w:name="page47"/>
    <w:bookmarkEnd w:id="46"/>
    <w:p>
      <w:pPr>
        <w:ind w:left="480" w:hanging="474"/>
        <w:spacing w:after="0"/>
        <w:tabs>
          <w:tab w:leader="none" w:pos="480" w:val="left"/>
        </w:tabs>
        <w:numPr>
          <w:ilvl w:val="0"/>
          <w:numId w:val="68"/>
        </w:numPr>
        <w:rPr>
          <w:rFonts w:ascii="Arial" w:cs="Arial" w:eastAsia="Arial" w:hAnsi="Arial"/>
          <w:sz w:val="16"/>
          <w:szCs w:val="16"/>
          <w:b w:val="1"/>
          <w:bCs w:val="1"/>
          <w:color w:val="E99D25"/>
        </w:rPr>
      </w:pPr>
      <w:r>
        <w:rPr>
          <w:rFonts w:ascii="Arial" w:cs="Arial" w:eastAsia="Arial" w:hAnsi="Arial"/>
          <w:sz w:val="16"/>
          <w:szCs w:val="16"/>
          <w:b w:val="1"/>
          <w:bCs w:val="1"/>
          <w:color w:val="E99D25"/>
        </w:rPr>
        <w:t>RELATED PARTIES</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Biotech Avenir</w:t>
      </w:r>
    </w:p>
    <w:p>
      <w:pPr>
        <w:spacing w:after="0" w:line="185"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Biotech Avenir SAS is a holding company incorporated in 2001 by the Company's founders. Most of its share capital is currently held by individuals, i.e. the four co-founders of the Company and twelve Company employees.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Jean-François Mouney, the Chairman of the Company, is also the Chairman of Biotech Avenir SAS.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At June 30, 2025, Biotech Avenir SAS held 3.79% of the share capital of the Company.</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 Company did not carry out any transactions with Biotech Avenir in 2025 or 2024, with the exception of the domiciliation without charge.</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Ipsen Pharma SAS</w:t>
      </w:r>
    </w:p>
    <w:p>
      <w:pPr>
        <w:spacing w:after="0" w:line="185"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The licensing agreement signed with Ipsen Pharma SAS in December 2021 provides for a certain number of service agreements that were signed with the Company in 2022 and 2023, notably the Transition Services Agreement and the Part B Transition Services Agreement.</w:t>
      </w:r>
    </w:p>
    <w:p>
      <w:pPr>
        <w:spacing w:after="0" w:line="12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3C3C3B"/>
        </w:rPr>
        <w:t xml:space="preserve">These agreements cover support for Ipsen in future proceedings and processes (other than knowledge transfer) and the provision of drug tablets which Ipsen may require to execute its clinical trial. As per the agreement signed with Ipsen in December 2021, the prices under these agreements cover all costs borne by the Company to provide the relevant goods and services, without economic benefit for Ipsen. See </w:t>
      </w:r>
      <w:r>
        <w:rPr>
          <w:rFonts w:ascii="Arial" w:cs="Arial" w:eastAsia="Arial" w:hAnsi="Arial"/>
          <w:sz w:val="15"/>
          <w:szCs w:val="15"/>
          <w:u w:val="single" w:color="auto"/>
          <w:color w:val="0000FF"/>
        </w:rPr>
        <w:t>Note 24 - Commitments, contingent liabilities and contingent assets</w:t>
      </w:r>
      <w:r>
        <w:rPr>
          <w:rFonts w:ascii="Arial" w:cs="Arial" w:eastAsia="Arial" w:hAnsi="Arial"/>
          <w:sz w:val="15"/>
          <w:szCs w:val="15"/>
          <w:color w:val="3C3C3B"/>
        </w:rPr>
        <w:t>.</w:t>
      </w:r>
    </w:p>
    <w:p>
      <w:pPr>
        <w:spacing w:after="0" w:line="238" w:lineRule="exact"/>
        <w:rPr>
          <w:sz w:val="20"/>
          <w:szCs w:val="20"/>
          <w:color w:val="auto"/>
        </w:rPr>
      </w:pPr>
    </w:p>
    <w:p>
      <w:pPr>
        <w:ind w:left="480" w:hanging="474"/>
        <w:spacing w:after="0"/>
        <w:tabs>
          <w:tab w:leader="none" w:pos="480" w:val="left"/>
        </w:tabs>
        <w:numPr>
          <w:ilvl w:val="0"/>
          <w:numId w:val="69"/>
        </w:numPr>
        <w:rPr>
          <w:rFonts w:ascii="Arial" w:cs="Arial" w:eastAsia="Arial" w:hAnsi="Arial"/>
          <w:sz w:val="16"/>
          <w:szCs w:val="16"/>
          <w:b w:val="1"/>
          <w:bCs w:val="1"/>
          <w:color w:val="E99D25"/>
        </w:rPr>
      </w:pPr>
      <w:r>
        <w:rPr>
          <w:rFonts w:ascii="Arial" w:cs="Arial" w:eastAsia="Arial" w:hAnsi="Arial"/>
          <w:sz w:val="16"/>
          <w:szCs w:val="16"/>
          <w:b w:val="1"/>
          <w:bCs w:val="1"/>
          <w:color w:val="E99D25"/>
        </w:rPr>
        <w:t>COMMITMENTS, CONTINGENT LIABILITIES AND CONTINGENT ASSETS</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Commitments</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Obligations under the terms of subcontracting agreements</w:t>
      </w:r>
    </w:p>
    <w:p>
      <w:pPr>
        <w:spacing w:after="0" w:line="185"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5"/>
          <w:szCs w:val="15"/>
          <w:color w:val="3C3C3B"/>
        </w:rPr>
        <w:t>The Group enters into contracts for its business needs with clinical research organizations (CROs) for clinical trials, as well as with Contract Manufacturing Organizations (CMOs) for clinical and commercial supply manufacturing, commercial and pre-commercial activities, research and development activities and other services and products for operating purposes. The Group’s agreements generally provide for termination with specified periods of advance notice.</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Such agreements are generally cancellable contracts and not included in the description of the Group’s contractual obligations and commitments.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Obligations under the terms of lease agreements</w:t>
      </w:r>
    </w:p>
    <w:p>
      <w:pPr>
        <w:spacing w:after="0" w:line="185"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auto"/>
        </w:rPr>
        <w:t>The Company has guaranteed its rental payment obligation under the lease agreement for the headquarters in Loos, France in the amount of €600 at June 30, 2025.</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Planned capital expenditures</w:t>
      </w:r>
    </w:p>
    <w:p>
      <w:pPr>
        <w:spacing w:after="0" w:line="18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5"/>
          <w:szCs w:val="15"/>
          <w:color w:val="3C3C3B"/>
        </w:rPr>
        <w:t>Capital expenditures (Scientific and IT investments) for which the Group has already made firm commitments amount to €100 as of the date of this half-year financial report. The Group plans to finance these investments over the next 12 months with available cash or new borrowings.</w:t>
      </w:r>
    </w:p>
    <w:p>
      <w:pPr>
        <w:spacing w:after="0" w:line="136"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3C3C3B"/>
        </w:rPr>
        <w:t>In addition, the Company will evaluate any opportunity to acquire new molecules that may complement those in its existing portfolio. If such an opportunity were taken, the Group would therefore make significant investments in this regard in the years to come. As of the date of this half-year financial report, the Group has not made any commitments in this regard.</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Contingent liabilities</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Obligations under the terms of the asset transfer protocol with Genoscience</w:t>
      </w:r>
    </w:p>
    <w:p>
      <w:pPr>
        <w:spacing w:after="0" w:line="185"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auto"/>
        </w:rPr>
        <w:t>On December 10, 2024, in the context of a “conciliation” (a French law, amicable pre-insolvency proceeding), GENFIT and Genoscience Pharma entered into an asset transfer protocol which entered into legal force on January 3, 2025 and terminates the previous agreement signed in 2021. Under the terms of this agreement:</w:t>
      </w:r>
    </w:p>
    <w:p>
      <w:pPr>
        <w:spacing w:after="0" w:line="16" w:lineRule="exact"/>
        <w:rPr>
          <w:sz w:val="20"/>
          <w:szCs w:val="20"/>
          <w:color w:val="auto"/>
        </w:rPr>
      </w:pPr>
    </w:p>
    <w:p>
      <w:pPr>
        <w:ind w:left="500" w:hanging="240"/>
        <w:spacing w:after="0"/>
        <w:tabs>
          <w:tab w:leader="none" w:pos="5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Contingent liabilities</w:t>
      </w:r>
    </w:p>
    <w:p>
      <w:pPr>
        <w:spacing w:after="0" w:line="79" w:lineRule="exact"/>
        <w:rPr>
          <w:rFonts w:ascii="Arial" w:cs="Arial" w:eastAsia="Arial" w:hAnsi="Arial"/>
          <w:sz w:val="15"/>
          <w:szCs w:val="15"/>
          <w:color w:val="auto"/>
        </w:rPr>
      </w:pPr>
    </w:p>
    <w:p>
      <w:pPr>
        <w:ind w:left="760" w:hanging="245"/>
        <w:spacing w:after="0"/>
        <w:tabs>
          <w:tab w:leader="none" w:pos="760" w:val="left"/>
        </w:tabs>
        <w:numPr>
          <w:ilvl w:val="1"/>
          <w:numId w:val="7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color w:val="3C3C3B"/>
        </w:rPr>
        <w:t>Patent sales) Genoscience Pharma will receive 25% of the proceeds of the sale of one or several GNS561 patents actually received by GENFIT.</w:t>
      </w:r>
    </w:p>
    <w:p>
      <w:pPr>
        <w:spacing w:after="0" w:line="335"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9"/>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41</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47" w:name="page48"/>
    <w:bookmarkEnd w:id="47"/>
    <w:p>
      <w:pPr>
        <w:jc w:val="both"/>
        <w:ind w:left="760" w:hanging="245"/>
        <w:spacing w:after="0" w:line="266" w:lineRule="auto"/>
        <w:tabs>
          <w:tab w:leader="none" w:pos="758" w:val="left"/>
        </w:tabs>
        <w:numPr>
          <w:ilvl w:val="1"/>
          <w:numId w:val="71"/>
        </w:numPr>
        <w:rPr>
          <w:rFonts w:ascii="Arial" w:cs="Arial" w:eastAsia="Arial" w:hAnsi="Arial"/>
          <w:sz w:val="15"/>
          <w:szCs w:val="15"/>
          <w:color w:val="3C3C3B"/>
        </w:rPr>
      </w:pPr>
      <w:r>
        <w:rPr>
          <w:rFonts w:ascii="Arial" w:cs="Arial" w:eastAsia="Arial" w:hAnsi="Arial"/>
          <w:sz w:val="15"/>
          <w:szCs w:val="15"/>
          <w:color w:val="3C3C3B"/>
        </w:rPr>
        <w:t>(Commercialization) Genoscience Pharma will receive 25% of the net profits actually collected by GENFIT corresponding to the sales of said products for a period expiring on the earliest of the following dates (i) 10 years from the first commercialized sale, (ii) the expiration, cancellation or revocation of one of the patents or (iii) the authorization of generic products utilizing the GNS Technology.</w:t>
      </w:r>
    </w:p>
    <w:p>
      <w:pPr>
        <w:spacing w:after="0" w:line="35" w:lineRule="exact"/>
        <w:rPr>
          <w:rFonts w:ascii="Arial" w:cs="Arial" w:eastAsia="Arial" w:hAnsi="Arial"/>
          <w:sz w:val="15"/>
          <w:szCs w:val="15"/>
          <w:color w:val="3C3C3B"/>
        </w:rPr>
      </w:pPr>
    </w:p>
    <w:p>
      <w:pPr>
        <w:jc w:val="both"/>
        <w:ind w:left="760" w:hanging="245"/>
        <w:spacing w:after="0" w:line="266" w:lineRule="auto"/>
        <w:tabs>
          <w:tab w:leader="none" w:pos="758" w:val="left"/>
        </w:tabs>
        <w:numPr>
          <w:ilvl w:val="1"/>
          <w:numId w:val="71"/>
        </w:numPr>
        <w:rPr>
          <w:rFonts w:ascii="Arial" w:cs="Arial" w:eastAsia="Arial" w:hAnsi="Arial"/>
          <w:sz w:val="15"/>
          <w:szCs w:val="15"/>
          <w:color w:val="3C3C3B"/>
        </w:rPr>
      </w:pPr>
      <w:r>
        <w:rPr>
          <w:rFonts w:ascii="Arial" w:cs="Arial" w:eastAsia="Arial" w:hAnsi="Arial"/>
          <w:sz w:val="15"/>
          <w:szCs w:val="15"/>
          <w:color w:val="3C3C3B"/>
        </w:rPr>
        <w:t>(Licensing-out) Genoscience Pharma will receive 25% of 1) any milestone payments (including upfront milestone payments) from GNS561 patent licensing and 2) royalties from said patent licensing actually collected by GENFIT during a period expiring on the earlier of (i) 10 years from the first commercialized sale, (ii) the expiration, cancellation or revocation of one of the patents or (iii) the authorization of generic products implementing the GNS Technology.</w:t>
      </w:r>
    </w:p>
    <w:p>
      <w:pPr>
        <w:spacing w:after="0" w:line="49" w:lineRule="exact"/>
        <w:rPr>
          <w:rFonts w:ascii="Arial" w:cs="Arial" w:eastAsia="Arial" w:hAnsi="Arial"/>
          <w:sz w:val="15"/>
          <w:szCs w:val="15"/>
          <w:color w:val="3C3C3B"/>
        </w:rPr>
      </w:pPr>
    </w:p>
    <w:p>
      <w:pPr>
        <w:ind w:left="520" w:hanging="260"/>
        <w:spacing w:after="0" w:line="274" w:lineRule="auto"/>
        <w:tabs>
          <w:tab w:leader="none" w:pos="504" w:val="left"/>
        </w:tabs>
        <w:numPr>
          <w:ilvl w:val="0"/>
          <w:numId w:val="71"/>
        </w:numPr>
        <w:rPr>
          <w:rFonts w:ascii="Arial" w:cs="Arial" w:eastAsia="Arial" w:hAnsi="Arial"/>
          <w:sz w:val="15"/>
          <w:szCs w:val="15"/>
          <w:color w:val="auto"/>
        </w:rPr>
      </w:pPr>
      <w:r>
        <w:rPr>
          <w:rFonts w:ascii="Arial" w:cs="Arial" w:eastAsia="Arial" w:hAnsi="Arial"/>
          <w:sz w:val="15"/>
          <w:szCs w:val="15"/>
          <w:color w:val="auto"/>
        </w:rPr>
        <w:t>Time limit: Such amounts would only be due if one of the above circumstances occur within five years of the date of signing the 2025 transfer protocol (December 10, 2024).</w:t>
      </w:r>
    </w:p>
    <w:p>
      <w:pPr>
        <w:spacing w:after="0" w:line="136" w:lineRule="exact"/>
        <w:rPr>
          <w:sz w:val="20"/>
          <w:szCs w:val="20"/>
          <w:color w:val="auto"/>
        </w:rPr>
      </w:pPr>
    </w:p>
    <w:p>
      <w:pPr>
        <w:ind w:firstLine="318"/>
        <w:spacing w:after="0" w:line="293" w:lineRule="auto"/>
        <w:rPr>
          <w:sz w:val="20"/>
          <w:szCs w:val="20"/>
          <w:color w:val="auto"/>
        </w:rPr>
      </w:pPr>
      <w:r>
        <w:rPr>
          <w:rFonts w:ascii="Arial" w:cs="Arial" w:eastAsia="Arial" w:hAnsi="Arial"/>
          <w:sz w:val="15"/>
          <w:szCs w:val="15"/>
          <w:color w:val="auto"/>
        </w:rPr>
        <w:t>In accordance with IAS 37, our obligations under the terms of the agreement we entered into with Genoscience Pharma constitute contingent liabilities not recognized in the Company's consolidated financial statements at December 31, 2024 and June 30, 2025.</w:t>
      </w:r>
    </w:p>
    <w:p>
      <w:pPr>
        <w:spacing w:after="0" w:line="361"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Obligations under the terms of license agreement with Seal Rock</w:t>
      </w:r>
    </w:p>
    <w:p>
      <w:pPr>
        <w:spacing w:after="0" w:line="200" w:lineRule="exact"/>
        <w:rPr>
          <w:sz w:val="20"/>
          <w:szCs w:val="20"/>
          <w:color w:val="auto"/>
        </w:rPr>
      </w:pPr>
    </w:p>
    <w:p>
      <w:pPr>
        <w:spacing w:after="0" w:line="224" w:lineRule="exact"/>
        <w:rPr>
          <w:sz w:val="20"/>
          <w:szCs w:val="20"/>
          <w:color w:val="auto"/>
        </w:rPr>
      </w:pPr>
    </w:p>
    <w:p>
      <w:pPr>
        <w:ind w:firstLine="318"/>
        <w:spacing w:after="0" w:line="274" w:lineRule="auto"/>
        <w:rPr>
          <w:sz w:val="20"/>
          <w:szCs w:val="20"/>
          <w:color w:val="auto"/>
        </w:rPr>
      </w:pPr>
      <w:r>
        <w:rPr>
          <w:rFonts w:ascii="Arial" w:cs="Arial" w:eastAsia="Arial" w:hAnsi="Arial"/>
          <w:sz w:val="15"/>
          <w:szCs w:val="15"/>
          <w:color w:val="3C3C3B"/>
        </w:rPr>
        <w:t>On May 31, 2023, GENFIT announced the signing of a licensing agreement for the exclusive worldwide rights to the ASK1 inhibitor SRT-015 with Seal Rock Therapeutics, a clinical-stage company based in Seattle, Washington. Under the terms of this agreement:</w:t>
      </w:r>
    </w:p>
    <w:p>
      <w:pPr>
        <w:spacing w:after="0" w:line="43" w:lineRule="exact"/>
        <w:rPr>
          <w:sz w:val="20"/>
          <w:szCs w:val="20"/>
          <w:color w:val="auto"/>
        </w:rPr>
      </w:pPr>
    </w:p>
    <w:p>
      <w:pPr>
        <w:ind w:left="500" w:hanging="240"/>
        <w:spacing w:after="0"/>
        <w:tabs>
          <w:tab w:leader="none" w:pos="500" w:val="left"/>
        </w:tabs>
        <w:numPr>
          <w:ilvl w:val="0"/>
          <w:numId w:val="72"/>
        </w:numPr>
        <w:rPr>
          <w:rFonts w:ascii="Arial" w:cs="Arial" w:eastAsia="Arial" w:hAnsi="Arial"/>
          <w:sz w:val="15"/>
          <w:szCs w:val="15"/>
          <w:color w:val="3C3C3B"/>
        </w:rPr>
      </w:pPr>
      <w:r>
        <w:rPr>
          <w:rFonts w:ascii="Arial" w:cs="Arial" w:eastAsia="Arial" w:hAnsi="Arial"/>
          <w:sz w:val="15"/>
          <w:szCs w:val="15"/>
          <w:color w:val="3C3C3B"/>
        </w:rPr>
        <w:t>Seal Rock is eligible for payments of up to €100 million (of which €2 million was paid in 2023), subject to certain regulatory, clinical and commercial outcomes.</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72"/>
        </w:numPr>
        <w:rPr>
          <w:rFonts w:ascii="Arial" w:cs="Arial" w:eastAsia="Arial" w:hAnsi="Arial"/>
          <w:sz w:val="15"/>
          <w:szCs w:val="15"/>
          <w:color w:val="3C3C3B"/>
        </w:rPr>
      </w:pPr>
      <w:r>
        <w:rPr>
          <w:rFonts w:ascii="Arial" w:cs="Arial" w:eastAsia="Arial" w:hAnsi="Arial"/>
          <w:sz w:val="15"/>
          <w:szCs w:val="15"/>
          <w:color w:val="3C3C3B"/>
        </w:rPr>
        <w:t>Seal Rock is likewise eligible for tiered royalties, applied to the annual sales of licensed products realized by GENFIT.</w:t>
      </w:r>
    </w:p>
    <w:p>
      <w:pPr>
        <w:spacing w:after="0" w:line="185" w:lineRule="exact"/>
        <w:rPr>
          <w:sz w:val="20"/>
          <w:szCs w:val="20"/>
          <w:color w:val="auto"/>
        </w:rPr>
      </w:pPr>
    </w:p>
    <w:p>
      <w:pPr>
        <w:ind w:firstLine="318"/>
        <w:spacing w:after="0" w:line="274" w:lineRule="auto"/>
        <w:rPr>
          <w:sz w:val="20"/>
          <w:szCs w:val="20"/>
          <w:color w:val="auto"/>
        </w:rPr>
      </w:pPr>
      <w:r>
        <w:rPr>
          <w:rFonts w:ascii="Arial" w:cs="Arial" w:eastAsia="Arial" w:hAnsi="Arial"/>
          <w:sz w:val="15"/>
          <w:szCs w:val="15"/>
          <w:color w:val="3C3C3B"/>
        </w:rPr>
        <w:t>The conditional payments will be subject to analysis when they are incurred to determine if they are eligible for capitalization in accordance with IAS 38. If so, they will be capitalized. Otherwise, they will be expensed as incurred.</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These obligations constitute contingent liabilities not recognized in the Company's consolidated financial statements at December 31, 2024 and June 30, 2025.</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Obligations related to the licensing agreement with Celloram</w:t>
      </w:r>
    </w:p>
    <w:p>
      <w:pPr>
        <w:spacing w:after="0" w:line="185" w:lineRule="exact"/>
        <w:rPr>
          <w:sz w:val="20"/>
          <w:szCs w:val="20"/>
          <w:color w:val="auto"/>
        </w:rPr>
      </w:pPr>
    </w:p>
    <w:p>
      <w:pPr>
        <w:ind w:firstLine="318"/>
        <w:spacing w:after="0" w:line="293" w:lineRule="auto"/>
        <w:rPr>
          <w:sz w:val="20"/>
          <w:szCs w:val="20"/>
          <w:color w:val="auto"/>
        </w:rPr>
      </w:pPr>
      <w:r>
        <w:rPr>
          <w:rFonts w:ascii="Arial" w:cs="Arial" w:eastAsia="Arial" w:hAnsi="Arial"/>
          <w:sz w:val="15"/>
          <w:szCs w:val="15"/>
          <w:color w:val="auto"/>
        </w:rPr>
        <w:t>O</w:t>
      </w:r>
      <w:r>
        <w:rPr>
          <w:rFonts w:ascii="Arial" w:cs="Arial" w:eastAsia="Arial" w:hAnsi="Arial"/>
          <w:sz w:val="15"/>
          <w:szCs w:val="15"/>
          <w:color w:val="3C3C3B"/>
        </w:rPr>
        <w:t>n July 28, 2023, GENFIT licensed the exclusive worldwide rights to CLM-022, a first-in-class inflammasome inhibitor, from Celloram Inc., a Cleveland-based</w:t>
      </w:r>
      <w:r>
        <w:rPr>
          <w:rFonts w:ascii="Arial" w:cs="Arial" w:eastAsia="Arial" w:hAnsi="Arial"/>
          <w:sz w:val="15"/>
          <w:szCs w:val="15"/>
          <w:color w:val="auto"/>
        </w:rPr>
        <w:t xml:space="preserve"> </w:t>
      </w:r>
      <w:r>
        <w:rPr>
          <w:rFonts w:ascii="Arial" w:cs="Arial" w:eastAsia="Arial" w:hAnsi="Arial"/>
          <w:sz w:val="15"/>
          <w:szCs w:val="15"/>
          <w:color w:val="3C3C3B"/>
        </w:rPr>
        <w:t>biotechnology company. Under the terms of the agreement:</w:t>
      </w:r>
    </w:p>
    <w:p>
      <w:pPr>
        <w:spacing w:after="0" w:line="16" w:lineRule="exact"/>
        <w:rPr>
          <w:sz w:val="20"/>
          <w:szCs w:val="20"/>
          <w:color w:val="auto"/>
        </w:rPr>
      </w:pPr>
    </w:p>
    <w:p>
      <w:pPr>
        <w:ind w:left="520" w:hanging="260"/>
        <w:spacing w:after="0" w:line="274" w:lineRule="auto"/>
        <w:tabs>
          <w:tab w:leader="none" w:pos="504" w:val="left"/>
        </w:tabs>
        <w:numPr>
          <w:ilvl w:val="0"/>
          <w:numId w:val="73"/>
        </w:numPr>
        <w:rPr>
          <w:rFonts w:ascii="Arial" w:cs="Arial" w:eastAsia="Arial" w:hAnsi="Arial"/>
          <w:sz w:val="15"/>
          <w:szCs w:val="15"/>
          <w:color w:val="3C3C3B"/>
        </w:rPr>
      </w:pPr>
      <w:r>
        <w:rPr>
          <w:rFonts w:ascii="Arial" w:cs="Arial" w:eastAsia="Arial" w:hAnsi="Arial"/>
          <w:sz w:val="15"/>
          <w:szCs w:val="15"/>
          <w:color w:val="3C3C3B"/>
        </w:rPr>
        <w:t>Celloram is eligible for payments of up to €160 million (of which €50 thousand have been paid in 2023), subject to certain regulatory, clinical and commercial outcomes.</w:t>
      </w:r>
    </w:p>
    <w:p>
      <w:pPr>
        <w:spacing w:after="0" w:line="43" w:lineRule="exact"/>
        <w:rPr>
          <w:rFonts w:ascii="Arial" w:cs="Arial" w:eastAsia="Arial" w:hAnsi="Arial"/>
          <w:sz w:val="15"/>
          <w:szCs w:val="15"/>
          <w:color w:val="3C3C3B"/>
        </w:rPr>
      </w:pPr>
    </w:p>
    <w:p>
      <w:pPr>
        <w:ind w:left="500" w:hanging="240"/>
        <w:spacing w:after="0"/>
        <w:tabs>
          <w:tab w:leader="none" w:pos="500" w:val="left"/>
        </w:tabs>
        <w:numPr>
          <w:ilvl w:val="0"/>
          <w:numId w:val="73"/>
        </w:numPr>
        <w:rPr>
          <w:rFonts w:ascii="Arial" w:cs="Arial" w:eastAsia="Arial" w:hAnsi="Arial"/>
          <w:sz w:val="15"/>
          <w:szCs w:val="15"/>
          <w:color w:val="3C3C3B"/>
        </w:rPr>
      </w:pPr>
      <w:r>
        <w:rPr>
          <w:rFonts w:ascii="Arial" w:cs="Arial" w:eastAsia="Arial" w:hAnsi="Arial"/>
          <w:sz w:val="15"/>
          <w:szCs w:val="15"/>
          <w:color w:val="3C3C3B"/>
        </w:rPr>
        <w:t>Celloram is likewise eligible for tiered royalties, applied to the annual sales of licensed products realized by GENFIT.</w:t>
      </w:r>
    </w:p>
    <w:p>
      <w:pPr>
        <w:spacing w:after="0" w:line="185" w:lineRule="exact"/>
        <w:rPr>
          <w:sz w:val="20"/>
          <w:szCs w:val="20"/>
          <w:color w:val="auto"/>
        </w:rPr>
      </w:pPr>
    </w:p>
    <w:p>
      <w:pPr>
        <w:ind w:firstLine="318"/>
        <w:spacing w:after="0" w:line="274" w:lineRule="auto"/>
        <w:rPr>
          <w:sz w:val="20"/>
          <w:szCs w:val="20"/>
          <w:color w:val="auto"/>
        </w:rPr>
      </w:pPr>
      <w:r>
        <w:rPr>
          <w:rFonts w:ascii="Arial" w:cs="Arial" w:eastAsia="Arial" w:hAnsi="Arial"/>
          <w:sz w:val="15"/>
          <w:szCs w:val="15"/>
          <w:color w:val="3C3C3B"/>
        </w:rPr>
        <w:t>The conditional payments will be subject to analysis when they are incurred to determine if they are eligible for capitalization in accordance with IAS 38. If so, they will be capitalized. Otherwise, they will be expensed as incurred.</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These obligations constitute contingent liabilities not recognized in the Company's consolidated financial statements at December 31, 2024 and June 30, 2025.</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3C3C3B"/>
        </w:rPr>
        <w:t>Obligations related to the Versantis acquisition</w:t>
      </w:r>
    </w:p>
    <w:p>
      <w:pPr>
        <w:spacing w:after="0" w:line="185" w:lineRule="exact"/>
        <w:rPr>
          <w:sz w:val="20"/>
          <w:szCs w:val="20"/>
          <w:color w:val="auto"/>
        </w:rPr>
      </w:pPr>
    </w:p>
    <w:p>
      <w:pPr>
        <w:ind w:firstLine="318"/>
        <w:spacing w:after="0" w:line="293" w:lineRule="auto"/>
        <w:rPr>
          <w:sz w:val="20"/>
          <w:szCs w:val="20"/>
          <w:color w:val="auto"/>
        </w:rPr>
      </w:pPr>
      <w:r>
        <w:rPr>
          <w:rFonts w:ascii="Arial" w:cs="Arial" w:eastAsia="Arial" w:hAnsi="Arial"/>
          <w:sz w:val="15"/>
          <w:szCs w:val="15"/>
          <w:color w:val="auto"/>
        </w:rPr>
        <w:t>O</w:t>
      </w:r>
      <w:r>
        <w:rPr>
          <w:rFonts w:ascii="Arial" w:cs="Arial" w:eastAsia="Arial" w:hAnsi="Arial"/>
          <w:sz w:val="15"/>
          <w:szCs w:val="15"/>
          <w:color w:val="3C3C3B"/>
        </w:rPr>
        <w:t>n September 29, 2022, GENFIT finalized an exclusive agreement to acquire all of the shares and voting rights of Versantis, a privately held clinical-stage</w:t>
      </w:r>
      <w:r>
        <w:rPr>
          <w:rFonts w:ascii="Arial" w:cs="Arial" w:eastAsia="Arial" w:hAnsi="Arial"/>
          <w:sz w:val="15"/>
          <w:szCs w:val="15"/>
          <w:color w:val="auto"/>
        </w:rPr>
        <w:t xml:space="preserve"> </w:t>
      </w:r>
      <w:r>
        <w:rPr>
          <w:rFonts w:ascii="Arial" w:cs="Arial" w:eastAsia="Arial" w:hAnsi="Arial"/>
          <w:sz w:val="15"/>
          <w:szCs w:val="15"/>
          <w:color w:val="3C3C3B"/>
        </w:rPr>
        <w:t>biotechnology company based in Switzerland focused on addressing the growing medical needs in the field of liver diseases.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Under the terms of this agreement:</w:t>
      </w:r>
    </w:p>
    <w:p>
      <w:pPr>
        <w:spacing w:after="0" w:line="79" w:lineRule="exact"/>
        <w:rPr>
          <w:sz w:val="20"/>
          <w:szCs w:val="20"/>
          <w:color w:val="auto"/>
        </w:rPr>
      </w:pPr>
    </w:p>
    <w:p>
      <w:pPr>
        <w:ind w:left="500" w:hanging="240"/>
        <w:spacing w:after="0"/>
        <w:tabs>
          <w:tab w:leader="none" w:pos="500" w:val="left"/>
        </w:tabs>
        <w:numPr>
          <w:ilvl w:val="0"/>
          <w:numId w:val="74"/>
        </w:numPr>
        <w:rPr>
          <w:rFonts w:ascii="Arial" w:cs="Arial" w:eastAsia="Arial" w:hAnsi="Arial"/>
          <w:sz w:val="15"/>
          <w:szCs w:val="15"/>
          <w:color w:val="3C3C3B"/>
        </w:rPr>
      </w:pPr>
      <w:r>
        <w:rPr>
          <w:rFonts w:ascii="Arial" w:cs="Arial" w:eastAsia="Arial" w:hAnsi="Arial"/>
          <w:sz w:val="15"/>
          <w:szCs w:val="15"/>
          <w:color w:val="3C3C3B"/>
        </w:rPr>
        <w:t>The former shareholders of Versantis are eligible to receive certain payments of up to 65 million CHF, contingent on the following outcomes:</w:t>
      </w:r>
    </w:p>
    <w:p>
      <w:pPr>
        <w:spacing w:after="0" w:line="79" w:lineRule="exact"/>
        <w:rPr>
          <w:rFonts w:ascii="Arial" w:cs="Arial" w:eastAsia="Arial" w:hAnsi="Arial"/>
          <w:sz w:val="15"/>
          <w:szCs w:val="15"/>
          <w:color w:val="3C3C3B"/>
        </w:rPr>
      </w:pPr>
    </w:p>
    <w:p>
      <w:pPr>
        <w:ind w:left="760" w:hanging="245"/>
        <w:spacing w:after="0"/>
        <w:tabs>
          <w:tab w:leader="none" w:pos="760" w:val="left"/>
        </w:tabs>
        <w:numPr>
          <w:ilvl w:val="1"/>
          <w:numId w:val="74"/>
        </w:numPr>
        <w:rPr>
          <w:rFonts w:ascii="Arial" w:cs="Arial" w:eastAsia="Arial" w:hAnsi="Arial"/>
          <w:sz w:val="15"/>
          <w:szCs w:val="15"/>
          <w:color w:val="3C3C3B"/>
        </w:rPr>
      </w:pPr>
      <w:r>
        <w:rPr>
          <w:rFonts w:ascii="Arial" w:cs="Arial" w:eastAsia="Arial" w:hAnsi="Arial"/>
          <w:sz w:val="15"/>
          <w:szCs w:val="15"/>
          <w:color w:val="3C3C3B"/>
        </w:rPr>
        <w:t>positive Phase 2 results related to VS-01-ACLF,</w:t>
      </w:r>
    </w:p>
    <w:p>
      <w:pPr>
        <w:spacing w:after="0" w:line="79" w:lineRule="exact"/>
        <w:rPr>
          <w:rFonts w:ascii="Arial" w:cs="Arial" w:eastAsia="Arial" w:hAnsi="Arial"/>
          <w:sz w:val="15"/>
          <w:szCs w:val="15"/>
          <w:color w:val="3C3C3B"/>
        </w:rPr>
      </w:pPr>
    </w:p>
    <w:p>
      <w:pPr>
        <w:ind w:left="760" w:hanging="245"/>
        <w:spacing w:after="0"/>
        <w:tabs>
          <w:tab w:leader="none" w:pos="760" w:val="left"/>
        </w:tabs>
        <w:numPr>
          <w:ilvl w:val="1"/>
          <w:numId w:val="74"/>
        </w:numPr>
        <w:rPr>
          <w:rFonts w:ascii="Arial" w:cs="Arial" w:eastAsia="Arial" w:hAnsi="Arial"/>
          <w:sz w:val="15"/>
          <w:szCs w:val="15"/>
          <w:color w:val="3C3C3B"/>
        </w:rPr>
      </w:pPr>
      <w:r>
        <w:rPr>
          <w:rFonts w:ascii="Arial" w:cs="Arial" w:eastAsia="Arial" w:hAnsi="Arial"/>
          <w:sz w:val="15"/>
          <w:szCs w:val="15"/>
          <w:color w:val="3C3C3B"/>
        </w:rPr>
        <w:t>regulatory approval of VS-01-ACLF, and</w:t>
      </w:r>
    </w:p>
    <w:p>
      <w:pPr>
        <w:spacing w:after="0" w:line="92" w:lineRule="exact"/>
        <w:rPr>
          <w:rFonts w:ascii="Arial" w:cs="Arial" w:eastAsia="Arial" w:hAnsi="Arial"/>
          <w:sz w:val="15"/>
          <w:szCs w:val="15"/>
          <w:color w:val="3C3C3B"/>
        </w:rPr>
      </w:pPr>
    </w:p>
    <w:p>
      <w:pPr>
        <w:ind w:left="760" w:hanging="245"/>
        <w:spacing w:after="0"/>
        <w:tabs>
          <w:tab w:leader="none" w:pos="760" w:val="left"/>
        </w:tabs>
        <w:numPr>
          <w:ilvl w:val="1"/>
          <w:numId w:val="74"/>
        </w:numPr>
        <w:rPr>
          <w:rFonts w:ascii="Arial" w:cs="Arial" w:eastAsia="Arial" w:hAnsi="Arial"/>
          <w:sz w:val="15"/>
          <w:szCs w:val="15"/>
          <w:color w:val="3C3C3B"/>
        </w:rPr>
      </w:pPr>
      <w:r>
        <w:rPr>
          <w:rFonts w:ascii="Arial" w:cs="Arial" w:eastAsia="Arial" w:hAnsi="Arial"/>
          <w:sz w:val="15"/>
          <w:szCs w:val="15"/>
          <w:color w:val="3C3C3B"/>
        </w:rPr>
        <w:t>positive Phase 2 results related to VS-02.</w:t>
      </w:r>
    </w:p>
    <w:p>
      <w:pPr>
        <w:spacing w:after="0" w:line="79" w:lineRule="exact"/>
        <w:rPr>
          <w:rFonts w:ascii="Arial" w:cs="Arial" w:eastAsia="Arial" w:hAnsi="Arial"/>
          <w:sz w:val="15"/>
          <w:szCs w:val="15"/>
          <w:color w:val="3C3C3B"/>
        </w:rPr>
      </w:pPr>
    </w:p>
    <w:p>
      <w:pPr>
        <w:ind w:left="520" w:hanging="260"/>
        <w:spacing w:after="0" w:line="274" w:lineRule="auto"/>
        <w:tabs>
          <w:tab w:leader="none" w:pos="504" w:val="left"/>
        </w:tabs>
        <w:numPr>
          <w:ilvl w:val="0"/>
          <w:numId w:val="74"/>
        </w:numPr>
        <w:rPr>
          <w:rFonts w:ascii="Arial" w:cs="Arial" w:eastAsia="Arial" w:hAnsi="Arial"/>
          <w:sz w:val="15"/>
          <w:szCs w:val="15"/>
          <w:color w:val="3C3C3B"/>
        </w:rPr>
      </w:pPr>
      <w:r>
        <w:rPr>
          <w:rFonts w:ascii="Arial" w:cs="Arial" w:eastAsia="Arial" w:hAnsi="Arial"/>
          <w:sz w:val="15"/>
          <w:szCs w:val="15"/>
          <w:color w:val="3C3C3B"/>
        </w:rPr>
        <w:t>Furthermore, the former shareholders of Versantis are eligible to receive 1/3 of the net proceeds resulting from the potential sale of the Priority Review Voucher of VS-01’s pediatric application by GENFIT to a third party, or 1/3 of the fair market value of this Voucher if GENFIT opts to apply it to one of its own programs.</w:t>
      </w:r>
    </w:p>
    <w:p>
      <w:pPr>
        <w:spacing w:after="0" w:line="136" w:lineRule="exact"/>
        <w:rPr>
          <w:sz w:val="20"/>
          <w:szCs w:val="20"/>
          <w:color w:val="auto"/>
        </w:rPr>
      </w:pPr>
    </w:p>
    <w:p>
      <w:pPr>
        <w:ind w:firstLine="318"/>
        <w:spacing w:after="0" w:line="293" w:lineRule="auto"/>
        <w:rPr>
          <w:sz w:val="20"/>
          <w:szCs w:val="20"/>
          <w:color w:val="auto"/>
        </w:rPr>
      </w:pPr>
      <w:r>
        <w:rPr>
          <w:rFonts w:ascii="Arial" w:cs="Arial" w:eastAsia="Arial" w:hAnsi="Arial"/>
          <w:sz w:val="15"/>
          <w:szCs w:val="15"/>
          <w:color w:val="3C3C3B"/>
        </w:rPr>
        <w:t>The conditional payments will be subject to analysis when they are incurred to determine if they are eligible for capitalization in accordance with IAS 38. If so, they will be capitalized. Otherwise, they will be expensed as incurred.</w:t>
      </w:r>
    </w:p>
    <w:p>
      <w:pPr>
        <w:spacing w:after="0" w:line="272"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9"/>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42</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48" w:name="page49"/>
    <w:bookmarkEnd w:id="48"/>
    <w:p>
      <w:pPr>
        <w:ind w:left="320"/>
        <w:spacing w:after="0"/>
        <w:rPr>
          <w:sz w:val="20"/>
          <w:szCs w:val="20"/>
          <w:color w:val="auto"/>
        </w:rPr>
      </w:pPr>
      <w:r>
        <w:rPr>
          <w:rFonts w:ascii="Arial" w:cs="Arial" w:eastAsia="Arial" w:hAnsi="Arial"/>
          <w:sz w:val="15"/>
          <w:szCs w:val="15"/>
          <w:color w:val="3C3C3B"/>
        </w:rPr>
        <w:t>These obligations constitute contingent liabilities not recognized in the Company's consolidated financial statements at December 31, 2024 and June 30, 2025.</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3C3C3B"/>
        </w:rPr>
        <w:t>Adverse event related to the Versantis VS-01 intangible</w:t>
      </w:r>
    </w:p>
    <w:p>
      <w:pPr>
        <w:spacing w:after="0" w:line="18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3C3C3B"/>
        </w:rPr>
        <w:t xml:space="preserve">On September 19, 2025, GENFIT announced its decision to discontinue its VS-01 program in ACLF (Acute-on-Chronic Liver Failure), and reprioritize its development on UCD (Urea Cycle Disorder). In accordance with IAS 10, this is considered on a non-adjusting event as this is a situation arising entirely after the reporting period. Refer to </w:t>
      </w:r>
      <w:r>
        <w:rPr>
          <w:rFonts w:ascii="Arial" w:cs="Arial" w:eastAsia="Arial" w:hAnsi="Arial"/>
          <w:sz w:val="15"/>
          <w:szCs w:val="15"/>
          <w:u w:val="single" w:color="auto"/>
          <w:color w:val="0000FF"/>
        </w:rPr>
        <w:t>Note 2.2 - Events after the period</w:t>
      </w:r>
      <w:r>
        <w:rPr>
          <w:rFonts w:ascii="Arial" w:cs="Arial" w:eastAsia="Arial" w:hAnsi="Arial"/>
          <w:sz w:val="15"/>
          <w:szCs w:val="15"/>
          <w:color w:val="3C3C3B"/>
        </w:rPr>
        <w:t>.</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Contingent assets</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Contingent assets related to the licensing agreement with IPSEN</w:t>
      </w:r>
    </w:p>
    <w:p>
      <w:pPr>
        <w:spacing w:after="0" w:line="18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5"/>
          <w:szCs w:val="15"/>
          <w:color w:val="3C3C3B"/>
        </w:rPr>
        <w:t>In December 2021, GENFIT and Ipsen Pharma SAS ("Ipsen") entered into an exclusive worldwide licensing agreement (except for China, Hong Kong, Taiwan and Macao, which apply to Terns as noted below) for elafibranor, a Phase 3 asset evaluated in Primary Biliary Cholangitis (PBC), as part of a long-term global partnership ("Collaboration and License Agreement"). Under this agreement we could receive milestone payments based on future events that are uncertain and therefore they constitute contingent assets not recognized in the Company's consolidated financial statements for the period ending June 30, 2025.</w:t>
      </w:r>
    </w:p>
    <w:p>
      <w:pPr>
        <w:spacing w:after="0" w:line="39" w:lineRule="exact"/>
        <w:rPr>
          <w:sz w:val="20"/>
          <w:szCs w:val="20"/>
          <w:color w:val="auto"/>
        </w:rPr>
      </w:pPr>
    </w:p>
    <w:p>
      <w:pPr>
        <w:jc w:val="both"/>
        <w:ind w:left="520" w:hanging="260"/>
        <w:spacing w:after="0" w:line="266" w:lineRule="auto"/>
        <w:tabs>
          <w:tab w:leader="none" w:pos="504" w:val="left"/>
        </w:tabs>
        <w:numPr>
          <w:ilvl w:val="0"/>
          <w:numId w:val="75"/>
        </w:numPr>
        <w:rPr>
          <w:rFonts w:ascii="Arial" w:cs="Arial" w:eastAsia="Arial" w:hAnsi="Arial"/>
          <w:sz w:val="15"/>
          <w:szCs w:val="15"/>
          <w:color w:val="3C3C3B"/>
        </w:rPr>
      </w:pPr>
      <w:r>
        <w:rPr>
          <w:rFonts w:ascii="Arial" w:cs="Arial" w:eastAsia="Arial" w:hAnsi="Arial"/>
          <w:sz w:val="15"/>
          <w:szCs w:val="15"/>
          <w:color w:val="3C3C3B"/>
        </w:rPr>
        <w:t>GENFIT is also eligible for total milestone payments up to €360 million. These milestone payments constitute future variable income, dependent on the completion of key steps related to the development and sales of the licensed products. As such, in accordance with IFRS 15, this income will be recognized as revenue depending on the completion of these milestones. GENFIT has recognized cumulative milestones of €88.5 million as of June 30, 2025.</w:t>
      </w:r>
    </w:p>
    <w:p>
      <w:pPr>
        <w:spacing w:after="0" w:line="49" w:lineRule="exact"/>
        <w:rPr>
          <w:rFonts w:ascii="Arial" w:cs="Arial" w:eastAsia="Arial" w:hAnsi="Arial"/>
          <w:sz w:val="15"/>
          <w:szCs w:val="15"/>
          <w:color w:val="3C3C3B"/>
        </w:rPr>
      </w:pPr>
    </w:p>
    <w:p>
      <w:pPr>
        <w:ind w:left="520" w:hanging="260"/>
        <w:spacing w:after="0" w:line="274" w:lineRule="auto"/>
        <w:tabs>
          <w:tab w:leader="none" w:pos="504" w:val="left"/>
        </w:tabs>
        <w:numPr>
          <w:ilvl w:val="0"/>
          <w:numId w:val="75"/>
        </w:numPr>
        <w:rPr>
          <w:rFonts w:ascii="Arial" w:cs="Arial" w:eastAsia="Arial" w:hAnsi="Arial"/>
          <w:sz w:val="15"/>
          <w:szCs w:val="15"/>
          <w:color w:val="3C3C3B"/>
        </w:rPr>
      </w:pPr>
      <w:r>
        <w:rPr>
          <w:rFonts w:ascii="Arial" w:cs="Arial" w:eastAsia="Arial" w:hAnsi="Arial"/>
          <w:sz w:val="15"/>
          <w:szCs w:val="15"/>
          <w:color w:val="3C3C3B"/>
        </w:rPr>
        <w:t xml:space="preserve">GENFIT is eligible for tiered double-digit royalties of up to 20%, applied to the annual sales of licensed products realized by Ipsen. As such, in accordance with IFRS 15, this income will be recognized as revenue depending on the realization of these sales. Refer to </w:t>
      </w:r>
      <w:r>
        <w:rPr>
          <w:rFonts w:ascii="Arial" w:cs="Arial" w:eastAsia="Arial" w:hAnsi="Arial"/>
          <w:sz w:val="15"/>
          <w:szCs w:val="15"/>
          <w:u w:val="single" w:color="auto"/>
          <w:color w:val="0000FF"/>
        </w:rPr>
        <w:t>Note 7 - Revenues and other income</w:t>
      </w:r>
      <w:r>
        <w:rPr>
          <w:rFonts w:ascii="Arial" w:cs="Arial" w:eastAsia="Arial" w:hAnsi="Arial"/>
          <w:sz w:val="15"/>
          <w:szCs w:val="15"/>
          <w:color w:val="3C3C3B"/>
        </w:rPr>
        <w:t>.</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5"/>
          <w:szCs w:val="15"/>
          <w:b w:val="1"/>
          <w:bCs w:val="1"/>
          <w:u w:val="single" w:color="auto"/>
          <w:color w:val="auto"/>
        </w:rPr>
        <w:t>Contingent assets related to the licensing agreement with Terns Pharma</w:t>
      </w:r>
    </w:p>
    <w:p>
      <w:pPr>
        <w:spacing w:after="0" w:line="18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3C3C3B"/>
        </w:rPr>
        <w:t>The Company entered into a licensing agreement with Terns Pharma whereby we could receive milestone payments based on future events that are uncertain and therefore they constitute contingent assets not recognized in the Company's consolidated financial statements for the period ending June 30, 2025. The licensing agreement with Terns concerns China, Hong Kong, Taiwan and Macao.</w:t>
      </w:r>
    </w:p>
    <w:p>
      <w:pPr>
        <w:spacing w:after="0" w:line="14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3C3C3B"/>
        </w:rPr>
        <w:t>Milestones include Development Milestone Payments upon the achievement of the development milestones for the licensed product and Commercial Milestone Payments upon the achievement of commercial milestones depending on reaching certain aggregate thresholds. There are also potential mid-teen royalties based on sales by Terns Pharmaceuticals in Greater China. The potential Development and Commercial Milestone payments may represent up to $193 million.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0" w:hanging="474"/>
        <w:spacing w:after="0"/>
        <w:tabs>
          <w:tab w:leader="none" w:pos="480" w:val="left"/>
        </w:tabs>
        <w:numPr>
          <w:ilvl w:val="0"/>
          <w:numId w:val="76"/>
        </w:numPr>
        <w:rPr>
          <w:rFonts w:ascii="Arial" w:cs="Arial" w:eastAsia="Arial" w:hAnsi="Arial"/>
          <w:sz w:val="16"/>
          <w:szCs w:val="16"/>
          <w:b w:val="1"/>
          <w:bCs w:val="1"/>
          <w:color w:val="E99D25"/>
        </w:rPr>
      </w:pPr>
      <w:r>
        <w:rPr>
          <w:rFonts w:ascii="Arial" w:cs="Arial" w:eastAsia="Arial" w:hAnsi="Arial"/>
          <w:sz w:val="16"/>
          <w:szCs w:val="16"/>
          <w:b w:val="1"/>
          <w:bCs w:val="1"/>
          <w:color w:val="E99D25"/>
        </w:rPr>
        <w:t>SUPPLEMENTAL CASH FLOW INFORMATION</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b w:val="1"/>
          <w:bCs w:val="1"/>
          <w:color w:val="3C3C3B"/>
        </w:rPr>
        <w:t>Supplemental cash flow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i w:val="1"/>
          <w:iCs w:val="1"/>
          <w:color w:val="3C3C3B"/>
        </w:rPr>
        <w:t>Disclosure of non-cash financing and investing activities</w:t>
      </w:r>
    </w:p>
    <w:p>
      <w:pPr>
        <w:spacing w:after="0" w:line="77" w:lineRule="exact"/>
        <w:rPr>
          <w:sz w:val="20"/>
          <w:szCs w:val="20"/>
          <w:color w:val="auto"/>
        </w:rPr>
      </w:pPr>
    </w:p>
    <w:p>
      <w:pPr>
        <w:ind w:left="500" w:hanging="240"/>
        <w:spacing w:after="0"/>
        <w:tabs>
          <w:tab w:leader="none" w:pos="500" w:val="left"/>
        </w:tabs>
        <w:numPr>
          <w:ilvl w:val="0"/>
          <w:numId w:val="77"/>
        </w:numPr>
        <w:rPr>
          <w:rFonts w:ascii="Arial" w:cs="Arial" w:eastAsia="Arial" w:hAnsi="Arial"/>
          <w:sz w:val="15"/>
          <w:szCs w:val="15"/>
          <w:color w:val="3C3C3B"/>
        </w:rPr>
      </w:pPr>
      <w:r>
        <w:rPr>
          <w:rFonts w:ascii="Arial" w:cs="Arial" w:eastAsia="Arial" w:hAnsi="Arial"/>
          <w:sz w:val="15"/>
          <w:szCs w:val="15"/>
          <w:color w:val="3C3C3B"/>
        </w:rPr>
        <w:t>Accrued property, plant and equipment, at December 31, 2024:   €196</w:t>
      </w:r>
    </w:p>
    <w:p>
      <w:pPr>
        <w:spacing w:after="0" w:line="79" w:lineRule="exact"/>
        <w:rPr>
          <w:rFonts w:ascii="Arial" w:cs="Arial" w:eastAsia="Arial" w:hAnsi="Arial"/>
          <w:sz w:val="15"/>
          <w:szCs w:val="15"/>
          <w:color w:val="3C3C3B"/>
        </w:rPr>
      </w:pPr>
    </w:p>
    <w:p>
      <w:pPr>
        <w:ind w:left="500" w:hanging="240"/>
        <w:spacing w:after="0"/>
        <w:tabs>
          <w:tab w:leader="none" w:pos="500" w:val="left"/>
        </w:tabs>
        <w:numPr>
          <w:ilvl w:val="0"/>
          <w:numId w:val="77"/>
        </w:numPr>
        <w:rPr>
          <w:rFonts w:ascii="Arial" w:cs="Arial" w:eastAsia="Arial" w:hAnsi="Arial"/>
          <w:sz w:val="15"/>
          <w:szCs w:val="15"/>
          <w:color w:val="3C3C3B"/>
        </w:rPr>
      </w:pPr>
      <w:r>
        <w:rPr>
          <w:rFonts w:ascii="Arial" w:cs="Arial" w:eastAsia="Arial" w:hAnsi="Arial"/>
          <w:sz w:val="15"/>
          <w:szCs w:val="15"/>
          <w:color w:val="3C3C3B"/>
        </w:rPr>
        <w:t>Accrued property, plant and equipment, at June 30, 2025:   €208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9"/>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43</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368"/>
        </w:trPr>
        <w:tc>
          <w:tcPr>
            <w:tcW w:w="740" w:type="dxa"/>
            <w:vAlign w:val="bottom"/>
          </w:tcPr>
          <w:p>
            <w:pPr>
              <w:jc w:val="right"/>
              <w:ind w:right="301"/>
              <w:spacing w:after="0"/>
              <w:rPr>
                <w:sz w:val="20"/>
                <w:szCs w:val="20"/>
                <w:color w:val="auto"/>
              </w:rPr>
            </w:pPr>
            <w:r>
              <w:rPr>
                <w:rFonts w:ascii="Arial" w:cs="Arial" w:eastAsia="Arial" w:hAnsi="Arial"/>
                <w:sz w:val="32"/>
                <w:szCs w:val="32"/>
                <w:b w:val="1"/>
                <w:bCs w:val="1"/>
                <w:color w:val="57879D"/>
                <w:w w:val="97"/>
              </w:rPr>
              <w:t>4.</w:t>
            </w:r>
          </w:p>
        </w:tc>
        <w:tc>
          <w:tcPr>
            <w:tcW w:w="10480" w:type="dxa"/>
            <w:vAlign w:val="bottom"/>
            <w:gridSpan w:val="2"/>
          </w:tcPr>
          <w:p>
            <w:pPr>
              <w:ind w:left="440"/>
              <w:spacing w:after="0"/>
              <w:rPr>
                <w:sz w:val="20"/>
                <w:szCs w:val="20"/>
                <w:color w:val="auto"/>
              </w:rPr>
            </w:pPr>
            <w:r>
              <w:rPr>
                <w:rFonts w:ascii="Arial" w:cs="Arial" w:eastAsia="Arial" w:hAnsi="Arial"/>
                <w:sz w:val="21"/>
                <w:szCs w:val="21"/>
                <w:b w:val="1"/>
                <w:bCs w:val="1"/>
                <w:color w:val="57879D"/>
              </w:rPr>
              <w:t>STATUTORY AUDITORS’ LIMITED REVIEW REPORT ON 2025 HALF-YEAR CONDENSED</w:t>
            </w:r>
          </w:p>
        </w:tc>
      </w:tr>
      <w:tr>
        <w:trPr>
          <w:trHeight w:val="271"/>
        </w:trPr>
        <w:tc>
          <w:tcPr>
            <w:tcW w:w="740" w:type="dxa"/>
            <w:vAlign w:val="bottom"/>
            <w:tcBorders>
              <w:bottom w:val="single" w:sz="8" w:color="57879D"/>
            </w:tcBorders>
          </w:tcPr>
          <w:p>
            <w:pPr>
              <w:spacing w:after="0"/>
              <w:rPr>
                <w:sz w:val="23"/>
                <w:szCs w:val="23"/>
                <w:color w:val="auto"/>
              </w:rPr>
            </w:pPr>
          </w:p>
        </w:tc>
        <w:tc>
          <w:tcPr>
            <w:tcW w:w="5520" w:type="dxa"/>
            <w:vAlign w:val="bottom"/>
            <w:tcBorders>
              <w:bottom w:val="single" w:sz="8" w:color="57879D"/>
            </w:tcBorders>
          </w:tcPr>
          <w:p>
            <w:pPr>
              <w:ind w:left="440"/>
              <w:spacing w:after="0"/>
              <w:rPr>
                <w:sz w:val="20"/>
                <w:szCs w:val="20"/>
                <w:color w:val="auto"/>
              </w:rPr>
            </w:pPr>
            <w:r>
              <w:rPr>
                <w:rFonts w:ascii="Arial" w:cs="Arial" w:eastAsia="Arial" w:hAnsi="Arial"/>
                <w:sz w:val="21"/>
                <w:szCs w:val="21"/>
                <w:b w:val="1"/>
                <w:bCs w:val="1"/>
                <w:color w:val="57879D"/>
              </w:rPr>
              <w:t>CONSOLIDATED FINANCIAL STATEMENTS</w:t>
            </w:r>
          </w:p>
        </w:tc>
        <w:tc>
          <w:tcPr>
            <w:tcW w:w="4960" w:type="dxa"/>
            <w:vAlign w:val="bottom"/>
            <w:tcBorders>
              <w:bottom w:val="single" w:sz="8" w:color="57879D"/>
            </w:tcBorders>
          </w:tcPr>
          <w:p>
            <w:pPr>
              <w:spacing w:after="0"/>
              <w:rPr>
                <w:sz w:val="23"/>
                <w:szCs w:val="23"/>
                <w:color w:val="auto"/>
              </w:rPr>
            </w:pPr>
          </w:p>
        </w:tc>
      </w:tr>
      <w:tr>
        <w:trPr>
          <w:trHeight w:val="416"/>
        </w:trPr>
        <w:tc>
          <w:tcPr>
            <w:tcW w:w="740" w:type="dxa"/>
            <w:vAlign w:val="bottom"/>
          </w:tcPr>
          <w:p>
            <w:pPr>
              <w:spacing w:after="0"/>
              <w:rPr>
                <w:sz w:val="24"/>
                <w:szCs w:val="24"/>
                <w:color w:val="auto"/>
              </w:rPr>
            </w:pPr>
          </w:p>
        </w:tc>
        <w:tc>
          <w:tcPr>
            <w:tcW w:w="5520" w:type="dxa"/>
            <w:vAlign w:val="bottom"/>
          </w:tcPr>
          <w:p>
            <w:pPr>
              <w:jc w:val="center"/>
              <w:ind w:right="1279"/>
              <w:spacing w:after="0"/>
              <w:rPr>
                <w:sz w:val="20"/>
                <w:szCs w:val="20"/>
                <w:color w:val="auto"/>
              </w:rPr>
            </w:pPr>
            <w:r>
              <w:rPr>
                <w:rFonts w:ascii="Arial" w:cs="Arial" w:eastAsia="Arial" w:hAnsi="Arial"/>
                <w:sz w:val="21"/>
                <w:szCs w:val="21"/>
                <w:b w:val="1"/>
                <w:bCs w:val="1"/>
                <w:color w:val="auto"/>
              </w:rPr>
              <w:t>GRANT THORNTON</w:t>
            </w:r>
          </w:p>
        </w:tc>
        <w:tc>
          <w:tcPr>
            <w:tcW w:w="4960" w:type="dxa"/>
            <w:vAlign w:val="bottom"/>
          </w:tcPr>
          <w:p>
            <w:pPr>
              <w:jc w:val="center"/>
              <w:ind w:right="705"/>
              <w:spacing w:after="0"/>
              <w:rPr>
                <w:sz w:val="20"/>
                <w:szCs w:val="20"/>
                <w:color w:val="auto"/>
              </w:rPr>
            </w:pPr>
            <w:r>
              <w:rPr>
                <w:rFonts w:ascii="Arial" w:cs="Arial" w:eastAsia="Arial" w:hAnsi="Arial"/>
                <w:sz w:val="21"/>
                <w:szCs w:val="21"/>
                <w:b w:val="1"/>
                <w:bCs w:val="1"/>
                <w:color w:val="auto"/>
              </w:rPr>
              <w:t>ERNST &amp; YOUNG et Autres</w:t>
            </w:r>
          </w:p>
        </w:tc>
      </w:tr>
      <w:tr>
        <w:trPr>
          <w:trHeight w:val="191"/>
        </w:trPr>
        <w:tc>
          <w:tcPr>
            <w:tcW w:w="740" w:type="dxa"/>
            <w:vAlign w:val="bottom"/>
          </w:tcPr>
          <w:p>
            <w:pPr>
              <w:spacing w:after="0"/>
              <w:rPr>
                <w:sz w:val="16"/>
                <w:szCs w:val="16"/>
                <w:color w:val="auto"/>
              </w:rPr>
            </w:pPr>
          </w:p>
        </w:tc>
        <w:tc>
          <w:tcPr>
            <w:tcW w:w="5520" w:type="dxa"/>
            <w:vAlign w:val="bottom"/>
          </w:tcPr>
          <w:p>
            <w:pPr>
              <w:jc w:val="center"/>
              <w:ind w:right="1259"/>
              <w:spacing w:after="0"/>
              <w:rPr>
                <w:sz w:val="20"/>
                <w:szCs w:val="20"/>
                <w:color w:val="auto"/>
              </w:rPr>
            </w:pPr>
            <w:r>
              <w:rPr>
                <w:rFonts w:ascii="Arial" w:cs="Arial" w:eastAsia="Arial" w:hAnsi="Arial"/>
                <w:sz w:val="14"/>
                <w:szCs w:val="14"/>
                <w:color w:val="auto"/>
              </w:rPr>
              <w:t>Membre français de Grant Thornton International</w:t>
            </w:r>
          </w:p>
        </w:tc>
        <w:tc>
          <w:tcPr>
            <w:tcW w:w="4960" w:type="dxa"/>
            <w:vAlign w:val="bottom"/>
          </w:tcPr>
          <w:p>
            <w:pPr>
              <w:jc w:val="center"/>
              <w:ind w:right="705"/>
              <w:spacing w:after="0"/>
              <w:rPr>
                <w:sz w:val="20"/>
                <w:szCs w:val="20"/>
                <w:color w:val="auto"/>
              </w:rPr>
            </w:pPr>
            <w:r>
              <w:rPr>
                <w:rFonts w:ascii="Arial" w:cs="Arial" w:eastAsia="Arial" w:hAnsi="Arial"/>
                <w:sz w:val="14"/>
                <w:szCs w:val="14"/>
                <w:color w:val="auto"/>
              </w:rPr>
              <w:t>Tour First, TSA 14444</w:t>
            </w:r>
          </w:p>
        </w:tc>
      </w:tr>
      <w:tr>
        <w:trPr>
          <w:trHeight w:val="159"/>
        </w:trPr>
        <w:tc>
          <w:tcPr>
            <w:tcW w:w="740" w:type="dxa"/>
            <w:vAlign w:val="bottom"/>
          </w:tcPr>
          <w:p>
            <w:pPr>
              <w:spacing w:after="0"/>
              <w:rPr>
                <w:sz w:val="13"/>
                <w:szCs w:val="13"/>
                <w:color w:val="auto"/>
              </w:rPr>
            </w:pPr>
          </w:p>
        </w:tc>
        <w:tc>
          <w:tcPr>
            <w:tcW w:w="5520" w:type="dxa"/>
            <w:vAlign w:val="bottom"/>
          </w:tcPr>
          <w:p>
            <w:pPr>
              <w:jc w:val="center"/>
              <w:ind w:right="1279"/>
              <w:spacing w:after="0" w:line="159" w:lineRule="exact"/>
              <w:rPr>
                <w:sz w:val="20"/>
                <w:szCs w:val="20"/>
                <w:color w:val="auto"/>
              </w:rPr>
            </w:pPr>
            <w:r>
              <w:rPr>
                <w:rFonts w:ascii="Arial" w:cs="Arial" w:eastAsia="Arial" w:hAnsi="Arial"/>
                <w:sz w:val="14"/>
                <w:szCs w:val="14"/>
                <w:color w:val="auto"/>
              </w:rPr>
              <w:t>29, rue du Pont 92200 Neuilly-sur-Seine</w:t>
            </w:r>
          </w:p>
        </w:tc>
        <w:tc>
          <w:tcPr>
            <w:tcW w:w="4960" w:type="dxa"/>
            <w:vAlign w:val="bottom"/>
          </w:tcPr>
          <w:p>
            <w:pPr>
              <w:jc w:val="center"/>
              <w:ind w:right="705"/>
              <w:spacing w:after="0" w:line="159" w:lineRule="exact"/>
              <w:rPr>
                <w:sz w:val="20"/>
                <w:szCs w:val="20"/>
                <w:color w:val="auto"/>
              </w:rPr>
            </w:pPr>
            <w:r>
              <w:rPr>
                <w:rFonts w:ascii="Arial" w:cs="Arial" w:eastAsia="Arial" w:hAnsi="Arial"/>
                <w:sz w:val="14"/>
                <w:szCs w:val="14"/>
                <w:color w:val="auto"/>
              </w:rPr>
              <w:t>92037 Paris-La Défese cedex</w:t>
            </w:r>
          </w:p>
        </w:tc>
      </w:tr>
      <w:tr>
        <w:trPr>
          <w:trHeight w:val="172"/>
        </w:trPr>
        <w:tc>
          <w:tcPr>
            <w:tcW w:w="740" w:type="dxa"/>
            <w:vAlign w:val="bottom"/>
          </w:tcPr>
          <w:p>
            <w:pPr>
              <w:spacing w:after="0"/>
              <w:rPr>
                <w:sz w:val="14"/>
                <w:szCs w:val="14"/>
                <w:color w:val="auto"/>
              </w:rPr>
            </w:pPr>
          </w:p>
        </w:tc>
        <w:tc>
          <w:tcPr>
            <w:tcW w:w="5520" w:type="dxa"/>
            <w:vAlign w:val="bottom"/>
          </w:tcPr>
          <w:p>
            <w:pPr>
              <w:jc w:val="center"/>
              <w:ind w:right="1279"/>
              <w:spacing w:after="0"/>
              <w:rPr>
                <w:sz w:val="20"/>
                <w:szCs w:val="20"/>
                <w:color w:val="auto"/>
              </w:rPr>
            </w:pPr>
            <w:r>
              <w:rPr>
                <w:rFonts w:ascii="Arial" w:cs="Arial" w:eastAsia="Arial" w:hAnsi="Arial"/>
                <w:sz w:val="14"/>
                <w:szCs w:val="14"/>
                <w:color w:val="auto"/>
              </w:rPr>
              <w:t>S.A.S. au capital de € 2 297 184</w:t>
            </w:r>
          </w:p>
        </w:tc>
        <w:tc>
          <w:tcPr>
            <w:tcW w:w="4960" w:type="dxa"/>
            <w:vAlign w:val="bottom"/>
          </w:tcPr>
          <w:p>
            <w:pPr>
              <w:jc w:val="center"/>
              <w:ind w:right="705"/>
              <w:spacing w:after="0"/>
              <w:rPr>
                <w:sz w:val="20"/>
                <w:szCs w:val="20"/>
                <w:color w:val="auto"/>
              </w:rPr>
            </w:pPr>
            <w:r>
              <w:rPr>
                <w:rFonts w:ascii="Arial" w:cs="Arial" w:eastAsia="Arial" w:hAnsi="Arial"/>
                <w:sz w:val="14"/>
                <w:szCs w:val="14"/>
                <w:color w:val="auto"/>
              </w:rPr>
              <w:t>S.A.S. à capital variable</w:t>
            </w:r>
          </w:p>
        </w:tc>
      </w:tr>
      <w:tr>
        <w:trPr>
          <w:trHeight w:val="186"/>
        </w:trPr>
        <w:tc>
          <w:tcPr>
            <w:tcW w:w="740" w:type="dxa"/>
            <w:vAlign w:val="bottom"/>
          </w:tcPr>
          <w:p>
            <w:pPr>
              <w:spacing w:after="0"/>
              <w:rPr>
                <w:sz w:val="16"/>
                <w:szCs w:val="16"/>
                <w:color w:val="auto"/>
              </w:rPr>
            </w:pPr>
          </w:p>
        </w:tc>
        <w:tc>
          <w:tcPr>
            <w:tcW w:w="5520" w:type="dxa"/>
            <w:vAlign w:val="bottom"/>
          </w:tcPr>
          <w:p>
            <w:pPr>
              <w:jc w:val="center"/>
              <w:ind w:right="1279"/>
              <w:spacing w:after="0"/>
              <w:rPr>
                <w:sz w:val="20"/>
                <w:szCs w:val="20"/>
                <w:color w:val="auto"/>
              </w:rPr>
            </w:pPr>
            <w:r>
              <w:rPr>
                <w:rFonts w:ascii="Arial" w:cs="Arial" w:eastAsia="Arial" w:hAnsi="Arial"/>
                <w:sz w:val="14"/>
                <w:szCs w:val="14"/>
                <w:color w:val="auto"/>
              </w:rPr>
              <w:t>632 013 843 R.C.S. Nanterre</w:t>
            </w:r>
          </w:p>
        </w:tc>
        <w:tc>
          <w:tcPr>
            <w:tcW w:w="4960" w:type="dxa"/>
            <w:vAlign w:val="bottom"/>
          </w:tcPr>
          <w:p>
            <w:pPr>
              <w:jc w:val="center"/>
              <w:ind w:right="705"/>
              <w:spacing w:after="0"/>
              <w:rPr>
                <w:sz w:val="20"/>
                <w:szCs w:val="20"/>
                <w:color w:val="auto"/>
              </w:rPr>
            </w:pPr>
            <w:r>
              <w:rPr>
                <w:rFonts w:ascii="Arial" w:cs="Arial" w:eastAsia="Arial" w:hAnsi="Arial"/>
                <w:sz w:val="14"/>
                <w:szCs w:val="14"/>
                <w:color w:val="auto"/>
              </w:rPr>
              <w:t>438 476 913 R.C.S. Nanterre</w:t>
            </w:r>
          </w:p>
        </w:tc>
      </w:tr>
      <w:tr>
        <w:trPr>
          <w:trHeight w:val="397"/>
        </w:trPr>
        <w:tc>
          <w:tcPr>
            <w:tcW w:w="740" w:type="dxa"/>
            <w:vAlign w:val="bottom"/>
          </w:tcPr>
          <w:p>
            <w:pPr>
              <w:spacing w:after="0"/>
              <w:rPr>
                <w:sz w:val="24"/>
                <w:szCs w:val="24"/>
                <w:color w:val="auto"/>
              </w:rPr>
            </w:pPr>
          </w:p>
        </w:tc>
        <w:tc>
          <w:tcPr>
            <w:tcW w:w="5520" w:type="dxa"/>
            <w:vAlign w:val="bottom"/>
          </w:tcPr>
          <w:p>
            <w:pPr>
              <w:jc w:val="center"/>
              <w:ind w:right="1279"/>
              <w:spacing w:after="0"/>
              <w:rPr>
                <w:sz w:val="20"/>
                <w:szCs w:val="20"/>
                <w:color w:val="auto"/>
              </w:rPr>
            </w:pPr>
            <w:r>
              <w:rPr>
                <w:rFonts w:ascii="Arial" w:cs="Arial" w:eastAsia="Arial" w:hAnsi="Arial"/>
                <w:sz w:val="14"/>
                <w:szCs w:val="14"/>
                <w:color w:val="auto"/>
                <w:w w:val="99"/>
              </w:rPr>
              <w:t>Commissaire aux Comptes</w:t>
            </w:r>
          </w:p>
        </w:tc>
        <w:tc>
          <w:tcPr>
            <w:tcW w:w="4960" w:type="dxa"/>
            <w:vAlign w:val="bottom"/>
          </w:tcPr>
          <w:p>
            <w:pPr>
              <w:jc w:val="center"/>
              <w:ind w:right="705"/>
              <w:spacing w:after="0"/>
              <w:rPr>
                <w:sz w:val="20"/>
                <w:szCs w:val="20"/>
                <w:color w:val="auto"/>
              </w:rPr>
            </w:pPr>
            <w:r>
              <w:rPr>
                <w:rFonts w:ascii="Arial" w:cs="Arial" w:eastAsia="Arial" w:hAnsi="Arial"/>
                <w:sz w:val="14"/>
                <w:szCs w:val="14"/>
                <w:color w:val="auto"/>
              </w:rPr>
              <w:t>Commissaire aux Comptes</w:t>
            </w:r>
          </w:p>
        </w:tc>
      </w:tr>
      <w:tr>
        <w:trPr>
          <w:trHeight w:val="172"/>
        </w:trPr>
        <w:tc>
          <w:tcPr>
            <w:tcW w:w="740" w:type="dxa"/>
            <w:vAlign w:val="bottom"/>
          </w:tcPr>
          <w:p>
            <w:pPr>
              <w:spacing w:after="0"/>
              <w:rPr>
                <w:sz w:val="14"/>
                <w:szCs w:val="14"/>
                <w:color w:val="auto"/>
              </w:rPr>
            </w:pPr>
          </w:p>
        </w:tc>
        <w:tc>
          <w:tcPr>
            <w:tcW w:w="5520" w:type="dxa"/>
            <w:vAlign w:val="bottom"/>
          </w:tcPr>
          <w:p>
            <w:pPr>
              <w:jc w:val="center"/>
              <w:ind w:right="1279"/>
              <w:spacing w:after="0"/>
              <w:rPr>
                <w:sz w:val="20"/>
                <w:szCs w:val="20"/>
                <w:color w:val="auto"/>
              </w:rPr>
            </w:pPr>
            <w:r>
              <w:rPr>
                <w:rFonts w:ascii="Arial" w:cs="Arial" w:eastAsia="Arial" w:hAnsi="Arial"/>
                <w:sz w:val="14"/>
                <w:szCs w:val="14"/>
                <w:color w:val="auto"/>
              </w:rPr>
              <w:t>Membre de la compagnie</w:t>
            </w:r>
          </w:p>
        </w:tc>
        <w:tc>
          <w:tcPr>
            <w:tcW w:w="4960" w:type="dxa"/>
            <w:vAlign w:val="bottom"/>
          </w:tcPr>
          <w:p>
            <w:pPr>
              <w:jc w:val="center"/>
              <w:ind w:right="705"/>
              <w:spacing w:after="0"/>
              <w:rPr>
                <w:sz w:val="20"/>
                <w:szCs w:val="20"/>
                <w:color w:val="auto"/>
              </w:rPr>
            </w:pPr>
            <w:r>
              <w:rPr>
                <w:rFonts w:ascii="Arial" w:cs="Arial" w:eastAsia="Arial" w:hAnsi="Arial"/>
                <w:sz w:val="14"/>
                <w:szCs w:val="14"/>
                <w:color w:val="auto"/>
              </w:rPr>
              <w:t>Membre de la compagnie</w:t>
            </w:r>
          </w:p>
        </w:tc>
      </w:tr>
      <w:tr>
        <w:trPr>
          <w:trHeight w:val="186"/>
        </w:trPr>
        <w:tc>
          <w:tcPr>
            <w:tcW w:w="740" w:type="dxa"/>
            <w:vAlign w:val="bottom"/>
          </w:tcPr>
          <w:p>
            <w:pPr>
              <w:spacing w:after="0"/>
              <w:rPr>
                <w:sz w:val="16"/>
                <w:szCs w:val="16"/>
                <w:color w:val="auto"/>
              </w:rPr>
            </w:pPr>
          </w:p>
        </w:tc>
        <w:tc>
          <w:tcPr>
            <w:tcW w:w="5520" w:type="dxa"/>
            <w:vAlign w:val="bottom"/>
          </w:tcPr>
          <w:p>
            <w:pPr>
              <w:jc w:val="center"/>
              <w:ind w:right="1279"/>
              <w:spacing w:after="0"/>
              <w:rPr>
                <w:sz w:val="20"/>
                <w:szCs w:val="20"/>
                <w:color w:val="auto"/>
              </w:rPr>
            </w:pPr>
            <w:r>
              <w:rPr>
                <w:rFonts w:ascii="Arial" w:cs="Arial" w:eastAsia="Arial" w:hAnsi="Arial"/>
                <w:sz w:val="14"/>
                <w:szCs w:val="14"/>
                <w:color w:val="auto"/>
              </w:rPr>
              <w:t>régionale de Versailles et du Centre</w:t>
            </w:r>
          </w:p>
        </w:tc>
        <w:tc>
          <w:tcPr>
            <w:tcW w:w="4960" w:type="dxa"/>
            <w:vAlign w:val="bottom"/>
          </w:tcPr>
          <w:p>
            <w:pPr>
              <w:jc w:val="center"/>
              <w:ind w:right="725"/>
              <w:spacing w:after="0"/>
              <w:rPr>
                <w:sz w:val="20"/>
                <w:szCs w:val="20"/>
                <w:color w:val="auto"/>
              </w:rPr>
            </w:pPr>
            <w:r>
              <w:rPr>
                <w:rFonts w:ascii="Arial" w:cs="Arial" w:eastAsia="Arial" w:hAnsi="Arial"/>
                <w:sz w:val="14"/>
                <w:szCs w:val="14"/>
                <w:color w:val="auto"/>
              </w:rPr>
              <w:t>régionale de Versailles et du Centre</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5"/>
          <w:szCs w:val="15"/>
          <w:b w:val="1"/>
          <w:bCs w:val="1"/>
          <w:color w:val="3C3C3B"/>
        </w:rPr>
        <w:t>GENFIT</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3C3C3B"/>
        </w:rPr>
        <w:t>For the period from 1 January to 30 June 2025</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3C3C3B"/>
        </w:rPr>
        <w:t>Statutory auditors’ review report on the half-yearly financial information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To the Shareholders,</w:t>
      </w:r>
    </w:p>
    <w:p>
      <w:pPr>
        <w:spacing w:after="0" w:line="7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5"/>
          <w:szCs w:val="15"/>
          <w:color w:val="3C3C3B"/>
        </w:rPr>
        <w:t>In compliance with the assignment entrusted to us by your Annual General Meeting and in accordance with the requirements of article L. 451-1-2 III of the French Monetary and Financial Code (Code monétaire et financier), we hereby report to you on:</w:t>
      </w:r>
    </w:p>
    <w:p>
      <w:pPr>
        <w:spacing w:after="0" w:line="43" w:lineRule="exact"/>
        <w:rPr>
          <w:sz w:val="20"/>
          <w:szCs w:val="20"/>
          <w:color w:val="auto"/>
        </w:rPr>
      </w:pPr>
    </w:p>
    <w:p>
      <w:pPr>
        <w:ind w:left="520" w:hanging="260"/>
        <w:spacing w:after="0"/>
        <w:tabs>
          <w:tab w:leader="none" w:pos="520" w:val="left"/>
        </w:tabs>
        <w:numPr>
          <w:ilvl w:val="0"/>
          <w:numId w:val="78"/>
        </w:numPr>
        <w:rPr>
          <w:rFonts w:ascii="Arial" w:cs="Arial" w:eastAsia="Arial" w:hAnsi="Arial"/>
          <w:sz w:val="15"/>
          <w:szCs w:val="15"/>
          <w:color w:val="3C3C3B"/>
        </w:rPr>
      </w:pPr>
      <w:r>
        <w:rPr>
          <w:rFonts w:ascii="Arial" w:cs="Arial" w:eastAsia="Arial" w:hAnsi="Arial"/>
          <w:sz w:val="15"/>
          <w:szCs w:val="15"/>
          <w:color w:val="3C3C3B"/>
        </w:rPr>
        <w:t>the review of the accompanying condensed half-yearly consolidated financial statements of GENFIT, for the period from 1 January to 30 June 2025;</w:t>
      </w:r>
    </w:p>
    <w:p>
      <w:pPr>
        <w:spacing w:after="0" w:line="79" w:lineRule="exact"/>
        <w:rPr>
          <w:rFonts w:ascii="Arial" w:cs="Arial" w:eastAsia="Arial" w:hAnsi="Arial"/>
          <w:sz w:val="15"/>
          <w:szCs w:val="15"/>
          <w:color w:val="3C3C3B"/>
        </w:rPr>
      </w:pPr>
    </w:p>
    <w:p>
      <w:pPr>
        <w:ind w:left="520" w:hanging="260"/>
        <w:spacing w:after="0"/>
        <w:tabs>
          <w:tab w:leader="none" w:pos="520" w:val="left"/>
        </w:tabs>
        <w:numPr>
          <w:ilvl w:val="0"/>
          <w:numId w:val="78"/>
        </w:numPr>
        <w:rPr>
          <w:rFonts w:ascii="Arial" w:cs="Arial" w:eastAsia="Arial" w:hAnsi="Arial"/>
          <w:sz w:val="15"/>
          <w:szCs w:val="15"/>
          <w:color w:val="3C3C3B"/>
        </w:rPr>
      </w:pPr>
      <w:r>
        <w:rPr>
          <w:rFonts w:ascii="Arial" w:cs="Arial" w:eastAsia="Arial" w:hAnsi="Arial"/>
          <w:sz w:val="15"/>
          <w:szCs w:val="15"/>
          <w:color w:val="3C3C3B"/>
        </w:rPr>
        <w:t>the verification of the information presented in the half-yearly management report.</w:t>
      </w:r>
    </w:p>
    <w:p>
      <w:pPr>
        <w:spacing w:after="0" w:line="79"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3C3C3B"/>
        </w:rPr>
        <w:t>These condensed half-yearly consolidated financial statements were drawn up under the responsibility of the Board of Directors. Our role is to express a conclusion on these financial statements based on our review.</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3C3C3B"/>
        </w:rPr>
        <w:t>1. Conclusion on the financial statements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We conducted our review in accordance with the professional standards applicable in France.</w:t>
      </w:r>
    </w:p>
    <w:p>
      <w:pPr>
        <w:spacing w:after="0" w:line="7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5"/>
          <w:szCs w:val="15"/>
          <w:color w:val="3C3C3B"/>
        </w:rPr>
        <w:t>A limited review of interim financial information consists of making inquiries of persons responsible for financial and accounting matters, and of applying analytical procedures. This review is substantially less in scope than an audit conducted in accordance with the professional standards applicable in France and consequently does not enable us to obtain assurance that we would become aware of all significant matters that might be identified in an audit. Accordingly, we do not express an audit opinion.</w:t>
      </w:r>
    </w:p>
    <w:p>
      <w:pPr>
        <w:spacing w:after="0" w:line="3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3C3C3B"/>
        </w:rPr>
        <w:t>Based on our limited review, nothing has come to our attention that causes us to believe that the accompanying condensed half-yearly consolidated financial statements are not prepared, in all material respects, in accordance with standard IAS 34 of the IFRS as adopted by the European Union applicable to interim financial information.</w:t>
      </w:r>
    </w:p>
    <w:p>
      <w:pPr>
        <w:spacing w:after="0" w:line="4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5"/>
          <w:szCs w:val="15"/>
          <w:color w:val="3C3C3B"/>
        </w:rPr>
        <w:t>Without modifying our conclusion, we draw your attention to the matter set out in note 2.2 “Events after the period” to the condensed half-year consolidated financial statements, which describes a major adverse event related to the intangible asset Versantis VS-01 that occurred in September 2025.</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b w:val="1"/>
          <w:bCs w:val="1"/>
          <w:color w:val="3C3C3B"/>
        </w:rPr>
        <w:t>2. Specific verification</w:t>
      </w:r>
    </w:p>
    <w:p>
      <w:pPr>
        <w:spacing w:after="0" w:line="7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5"/>
          <w:szCs w:val="15"/>
          <w:color w:val="3C3C3B"/>
        </w:rPr>
        <w:t>We have also verified the information presented in the half-yearly management report on the condensed half-yearly consolidated financial statements subject to our limited review.</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5"/>
          <w:szCs w:val="15"/>
          <w:color w:val="3C3C3B"/>
        </w:rPr>
        <w:t>We have no matters to report as to its fair presentation and consistency with the condensed half-yearly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3C3C3B"/>
        </w:rPr>
        <w:t>Neuilly-sur-Seine and Paris-La Défense, 22 September 2025</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3C3C3B"/>
        </w:rPr>
        <w:t>The Statutory Auditors</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i w:val="1"/>
          <w:iCs w:val="1"/>
          <w:color w:val="3C3C3B"/>
        </w:rPr>
        <w:t>(French original signed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020" w:type="dxa"/>
        <w:tblCellMar>
          <w:top w:w="0" w:type="dxa"/>
          <w:left w:w="0" w:type="dxa"/>
          <w:bottom w:w="0" w:type="dxa"/>
          <w:right w:w="0" w:type="dxa"/>
        </w:tblCellMar>
      </w:tblPr>
      <w:tr>
        <w:trPr>
          <w:trHeight w:val="174"/>
        </w:trPr>
        <w:tc>
          <w:tcPr>
            <w:tcW w:w="5840" w:type="dxa"/>
            <w:vAlign w:val="bottom"/>
            <w:gridSpan w:val="2"/>
          </w:tcPr>
          <w:p>
            <w:pPr>
              <w:jc w:val="center"/>
              <w:ind w:right="2505"/>
              <w:spacing w:after="0"/>
              <w:rPr>
                <w:sz w:val="20"/>
                <w:szCs w:val="20"/>
                <w:color w:val="auto"/>
              </w:rPr>
            </w:pPr>
            <w:r>
              <w:rPr>
                <w:rFonts w:ascii="Arial" w:cs="Arial" w:eastAsia="Arial" w:hAnsi="Arial"/>
                <w:sz w:val="15"/>
                <w:szCs w:val="15"/>
                <w:color w:val="auto"/>
              </w:rPr>
              <w:t>GRANT THORNTON</w:t>
            </w:r>
          </w:p>
        </w:tc>
        <w:tc>
          <w:tcPr>
            <w:tcW w:w="4380" w:type="dxa"/>
            <w:vAlign w:val="bottom"/>
            <w:gridSpan w:val="2"/>
          </w:tcPr>
          <w:p>
            <w:pPr>
              <w:jc w:val="center"/>
              <w:ind w:right="1505"/>
              <w:spacing w:after="0"/>
              <w:rPr>
                <w:sz w:val="20"/>
                <w:szCs w:val="20"/>
                <w:color w:val="auto"/>
              </w:rPr>
            </w:pPr>
            <w:r>
              <w:rPr>
                <w:rFonts w:ascii="Arial" w:cs="Arial" w:eastAsia="Arial" w:hAnsi="Arial"/>
                <w:sz w:val="15"/>
                <w:szCs w:val="15"/>
                <w:color w:val="auto"/>
                <w:w w:val="99"/>
              </w:rPr>
              <w:t>ERNST &amp; YOUNG et Autres</w:t>
            </w:r>
          </w:p>
        </w:tc>
      </w:tr>
      <w:tr>
        <w:trPr>
          <w:trHeight w:val="196"/>
        </w:trPr>
        <w:tc>
          <w:tcPr>
            <w:tcW w:w="5840" w:type="dxa"/>
            <w:vAlign w:val="bottom"/>
            <w:gridSpan w:val="2"/>
          </w:tcPr>
          <w:p>
            <w:pPr>
              <w:jc w:val="center"/>
              <w:ind w:right="2525"/>
              <w:spacing w:after="0"/>
              <w:rPr>
                <w:sz w:val="20"/>
                <w:szCs w:val="20"/>
                <w:color w:val="auto"/>
              </w:rPr>
            </w:pPr>
            <w:r>
              <w:rPr>
                <w:rFonts w:ascii="Arial" w:cs="Arial" w:eastAsia="Arial" w:hAnsi="Arial"/>
                <w:sz w:val="15"/>
                <w:szCs w:val="15"/>
                <w:i w:val="1"/>
                <w:iCs w:val="1"/>
                <w:color w:val="auto"/>
                <w:w w:val="99"/>
              </w:rPr>
              <w:t>Membre français de Grant Thornton International</w:t>
            </w:r>
          </w:p>
        </w:tc>
        <w:tc>
          <w:tcPr>
            <w:tcW w:w="3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512"/>
        </w:trPr>
        <w:tc>
          <w:tcPr>
            <w:tcW w:w="5840" w:type="dxa"/>
            <w:vAlign w:val="bottom"/>
            <w:gridSpan w:val="2"/>
          </w:tcPr>
          <w:p>
            <w:pPr>
              <w:jc w:val="center"/>
              <w:ind w:right="2525"/>
              <w:spacing w:after="0"/>
              <w:rPr>
                <w:sz w:val="20"/>
                <w:szCs w:val="20"/>
                <w:color w:val="auto"/>
              </w:rPr>
            </w:pPr>
            <w:r>
              <w:rPr>
                <w:rFonts w:ascii="Arial" w:cs="Arial" w:eastAsia="Arial" w:hAnsi="Arial"/>
                <w:sz w:val="18"/>
                <w:szCs w:val="18"/>
                <w:color w:val="auto"/>
                <w:w w:val="98"/>
              </w:rPr>
              <w:t>Samuel Clochard</w:t>
            </w:r>
          </w:p>
        </w:tc>
        <w:tc>
          <w:tcPr>
            <w:tcW w:w="4380" w:type="dxa"/>
            <w:vAlign w:val="bottom"/>
            <w:gridSpan w:val="2"/>
          </w:tcPr>
          <w:p>
            <w:pPr>
              <w:jc w:val="center"/>
              <w:ind w:right="1525"/>
              <w:spacing w:after="0"/>
              <w:rPr>
                <w:sz w:val="20"/>
                <w:szCs w:val="20"/>
                <w:color w:val="auto"/>
              </w:rPr>
            </w:pPr>
            <w:r>
              <w:rPr>
                <w:rFonts w:ascii="Arial" w:cs="Arial" w:eastAsia="Arial" w:hAnsi="Arial"/>
                <w:sz w:val="18"/>
                <w:szCs w:val="18"/>
                <w:color w:val="auto"/>
                <w:w w:val="99"/>
              </w:rPr>
              <w:t>Alexis Hurtrel</w:t>
            </w:r>
          </w:p>
        </w:tc>
      </w:tr>
      <w:tr>
        <w:trPr>
          <w:trHeight w:val="408"/>
        </w:trPr>
        <w:tc>
          <w:tcPr>
            <w:tcW w:w="15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380" w:type="dxa"/>
            <w:vAlign w:val="bottom"/>
            <w:gridSpan w:val="2"/>
          </w:tcPr>
          <w:p>
            <w:pPr>
              <w:spacing w:after="0"/>
              <w:rPr>
                <w:sz w:val="24"/>
                <w:szCs w:val="24"/>
                <w:color w:val="auto"/>
              </w:rPr>
            </w:pPr>
          </w:p>
        </w:tc>
      </w:tr>
      <w:tr>
        <w:trPr>
          <w:trHeight w:val="106"/>
        </w:trPr>
        <w:tc>
          <w:tcPr>
            <w:tcW w:w="1520" w:type="dxa"/>
            <w:vAlign w:val="bottom"/>
            <w:tcBorders>
              <w:right w:val="single" w:sz="8" w:color="57879D"/>
            </w:tcBorders>
          </w:tcPr>
          <w:p>
            <w:pPr>
              <w:spacing w:after="0"/>
              <w:rPr>
                <w:sz w:val="9"/>
                <w:szCs w:val="9"/>
                <w:color w:val="auto"/>
              </w:rPr>
            </w:pPr>
          </w:p>
        </w:tc>
        <w:tc>
          <w:tcPr>
            <w:tcW w:w="43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19"/>
        </w:trPr>
        <w:tc>
          <w:tcPr>
            <w:tcW w:w="1520" w:type="dxa"/>
            <w:vAlign w:val="bottom"/>
            <w:tcBorders>
              <w:right w:val="single" w:sz="8" w:color="57879D"/>
            </w:tcBorders>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5"/>
                <w:szCs w:val="15"/>
                <w:color w:val="3C3C3B"/>
              </w:rPr>
              <w:t>Half-Year Business and Financial Report at June 30, 2025</w:t>
            </w:r>
          </w:p>
        </w:tc>
        <w:tc>
          <w:tcPr>
            <w:tcW w:w="3520" w:type="dxa"/>
            <w:vAlign w:val="bottom"/>
          </w:tcPr>
          <w:p>
            <w:pPr>
              <w:spacing w:after="0"/>
              <w:rPr>
                <w:sz w:val="19"/>
                <w:szCs w:val="19"/>
                <w:color w:val="auto"/>
              </w:rPr>
            </w:pP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44</w:t>
            </w:r>
          </w:p>
        </w:tc>
      </w:tr>
      <w:tr>
        <w:trPr>
          <w:trHeight w:val="265"/>
        </w:trPr>
        <w:tc>
          <w:tcPr>
            <w:tcW w:w="1520" w:type="dxa"/>
            <w:vAlign w:val="bottom"/>
            <w:tcBorders>
              <w:right w:val="single" w:sz="8" w:color="57879D"/>
            </w:tcBorders>
          </w:tcPr>
          <w:p>
            <w:pPr>
              <w:spacing w:after="0"/>
              <w:rPr>
                <w:sz w:val="23"/>
                <w:szCs w:val="23"/>
                <w:color w:val="auto"/>
              </w:rPr>
            </w:pPr>
          </w:p>
        </w:tc>
        <w:tc>
          <w:tcPr>
            <w:tcW w:w="43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50" w:name="page51"/>
    <w:bookmarkEnd w:id="50"/>
    <w:p>
      <w:pPr>
        <w:ind w:left="1520" w:right="720" w:hanging="1178"/>
        <w:spacing w:after="0" w:line="303" w:lineRule="auto"/>
        <w:tabs>
          <w:tab w:leader="none" w:pos="1520" w:val="left"/>
        </w:tabs>
        <w:numPr>
          <w:ilvl w:val="0"/>
          <w:numId w:val="79"/>
        </w:numPr>
        <w:rPr>
          <w:rFonts w:ascii="Arial" w:cs="Arial" w:eastAsia="Arial" w:hAnsi="Arial"/>
          <w:sz w:val="35"/>
          <w:szCs w:val="35"/>
          <w:b w:val="1"/>
          <w:bCs w:val="1"/>
          <w:color w:val="57879D"/>
        </w:rPr>
      </w:pPr>
      <w:r>
        <w:rPr>
          <w:rFonts w:ascii="Arial" w:cs="Arial" w:eastAsia="Arial" w:hAnsi="Arial"/>
          <w:sz w:val="35"/>
          <w:szCs w:val="35"/>
          <w:b w:val="1"/>
          <w:bCs w:val="1"/>
          <w:color w:val="57879D"/>
        </w:rPr>
        <w:t>DECLARATION BY THE PERSON RESPONSIBLE FOR THE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-73660</wp:posOffset>
            </wp:positionV>
            <wp:extent cx="685736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pacing w:after="0" w:line="322"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3C3C3B"/>
        </w:rPr>
        <w:t>“I hereby declare, to the best of my knowledge, that the financial statements for the most recent half year have been prepared in accordance with the applicable accounting standards and give a true and fair view of the assets and liabilities, the financial position and the results of the Company and all the other companies included in the scope of consolidation, and that the half-year management report gives a fair description of the important events of the first six months of the fiscal year and their impact on the half year financial statements, the main related party transactions as well as a description of the main risks and uncertainties for the six months to come.”</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3C3C3B"/>
        </w:rPr>
        <w:t>Pascal Prigent</w:t>
      </w:r>
    </w:p>
    <w:p>
      <w:pPr>
        <w:spacing w:after="0" w:line="11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3C3C3B"/>
        </w:rPr>
        <w:t>Chief Executive Officer</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3C3C3B"/>
        </w:rPr>
        <w:t>Loos, September 22, 2025</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2530" w:type="dxa"/>
        <w:tblCellMar>
          <w:top w:w="0" w:type="dxa"/>
          <w:left w:w="0" w:type="dxa"/>
          <w:bottom w:w="0" w:type="dxa"/>
          <w:right w:w="0" w:type="dxa"/>
        </w:tblCellMar>
      </w:tblPr>
      <w:tr>
        <w:trPr>
          <w:trHeight w:val="106"/>
        </w:trPr>
        <w:tc>
          <w:tcPr>
            <w:tcW w:w="7860" w:type="dxa"/>
            <w:vAlign w:val="bottom"/>
            <w:tcBorders>
              <w:left w:val="single" w:sz="8" w:color="57879D"/>
            </w:tcBorders>
          </w:tcPr>
          <w:p>
            <w:pPr>
              <w:spacing w:after="0"/>
              <w:rPr>
                <w:sz w:val="9"/>
                <w:szCs w:val="9"/>
                <w:color w:val="auto"/>
              </w:rPr>
            </w:pPr>
          </w:p>
        </w:tc>
        <w:tc>
          <w:tcPr>
            <w:tcW w:w="860" w:type="dxa"/>
            <w:vAlign w:val="bottom"/>
          </w:tcPr>
          <w:p>
            <w:pPr>
              <w:spacing w:after="0"/>
              <w:rPr>
                <w:sz w:val="9"/>
                <w:szCs w:val="9"/>
                <w:color w:val="auto"/>
              </w:rPr>
            </w:pPr>
          </w:p>
        </w:tc>
      </w:tr>
      <w:tr>
        <w:trPr>
          <w:trHeight w:val="218"/>
        </w:trPr>
        <w:tc>
          <w:tcPr>
            <w:tcW w:w="7860" w:type="dxa"/>
            <w:vAlign w:val="bottom"/>
            <w:tcBorders>
              <w:left w:val="single" w:sz="8" w:color="57879D"/>
            </w:tcBorders>
          </w:tcPr>
          <w:p>
            <w:pPr>
              <w:ind w:left="20"/>
              <w:spacing w:after="0"/>
              <w:rPr>
                <w:sz w:val="20"/>
                <w:szCs w:val="20"/>
                <w:color w:val="auto"/>
              </w:rPr>
            </w:pPr>
            <w:r>
              <w:rPr>
                <w:rFonts w:ascii="Arial" w:cs="Arial" w:eastAsia="Arial" w:hAnsi="Arial"/>
                <w:sz w:val="15"/>
                <w:szCs w:val="15"/>
                <w:color w:val="3C3C3B"/>
              </w:rPr>
              <w:t>Half-Year Business and Financial Report at June 30, 2025</w:t>
            </w:r>
          </w:p>
        </w:tc>
        <w:tc>
          <w:tcPr>
            <w:tcW w:w="860" w:type="dxa"/>
            <w:vAlign w:val="bottom"/>
            <w:tcBorders>
              <w:bottom w:val="single" w:sz="8" w:color="DBDBDB"/>
            </w:tcBorders>
            <w:shd w:val="clear" w:color="auto" w:fill="DBDBDB"/>
          </w:tcPr>
          <w:p>
            <w:pPr>
              <w:jc w:val="right"/>
              <w:ind w:right="605"/>
              <w:spacing w:after="0"/>
              <w:rPr>
                <w:sz w:val="20"/>
                <w:szCs w:val="20"/>
                <w:color w:val="auto"/>
              </w:rPr>
            </w:pPr>
            <w:r>
              <w:rPr>
                <w:rFonts w:ascii="Arial" w:cs="Arial" w:eastAsia="Arial" w:hAnsi="Arial"/>
                <w:sz w:val="15"/>
                <w:szCs w:val="15"/>
                <w:color w:val="3C3C3B"/>
                <w:w w:val="95"/>
              </w:rPr>
              <w:t>45</w:t>
            </w:r>
          </w:p>
        </w:tc>
      </w:tr>
      <w:tr>
        <w:trPr>
          <w:trHeight w:val="265"/>
        </w:trPr>
        <w:tc>
          <w:tcPr>
            <w:tcW w:w="7860" w:type="dxa"/>
            <w:vAlign w:val="bottom"/>
            <w:tcBorders>
              <w:left w:val="single" w:sz="8" w:color="57879D"/>
            </w:tcBorders>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-361315</wp:posOffset>
            </wp:positionV>
            <wp:extent cx="1093470" cy="27749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093470" cy="277495"/>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97155</wp:posOffset>
            </wp:positionV>
            <wp:extent cx="7197090" cy="906970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97090" cy="906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FFFFFF"/>
        </w:rPr>
        <w:t>Société anonyme à Conseil d’Administration</w:t>
      </w:r>
    </w:p>
    <w:p>
      <w:pPr>
        <w:spacing w:after="0" w:line="66" w:lineRule="exact"/>
        <w:rPr>
          <w:sz w:val="20"/>
          <w:szCs w:val="20"/>
          <w:color w:val="auto"/>
        </w:rPr>
      </w:pPr>
    </w:p>
    <w:p>
      <w:pPr>
        <w:ind w:right="3619"/>
        <w:spacing w:after="0" w:line="332" w:lineRule="auto"/>
        <w:rPr>
          <w:sz w:val="20"/>
          <w:szCs w:val="20"/>
          <w:color w:val="auto"/>
        </w:rPr>
      </w:pPr>
      <w:r>
        <w:rPr>
          <w:rFonts w:ascii="Arial" w:cs="Arial" w:eastAsia="Arial" w:hAnsi="Arial"/>
          <w:sz w:val="15"/>
          <w:szCs w:val="15"/>
          <w:color w:val="FFFFFF"/>
        </w:rPr>
        <w:t>au capital social de 12 500 722, 50 euros réparti en 50 002 890 actions de nominal 0,25 euro Headquarters: Parc Eurasanté - 885, avenue Eugène Avinée - 59120 LOOS - France</w:t>
      </w:r>
    </w:p>
    <w:p>
      <w:pPr>
        <w:spacing w:after="0"/>
        <w:rPr>
          <w:sz w:val="20"/>
          <w:szCs w:val="20"/>
          <w:color w:val="auto"/>
        </w:rPr>
      </w:pPr>
      <w:r>
        <w:rPr>
          <w:rFonts w:ascii="Arial" w:cs="Arial" w:eastAsia="Arial" w:hAnsi="Arial"/>
          <w:sz w:val="18"/>
          <w:szCs w:val="18"/>
          <w:b w:val="1"/>
          <w:bCs w:val="1"/>
          <w:i w:val="1"/>
          <w:iCs w:val="1"/>
          <w:color w:val="FFFFFF"/>
        </w:rPr>
        <w:t>www.genfit.com | contact@genfit.com</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FFFFFF"/>
        </w:rPr>
        <w:t>424 341 907 R.C.S. Lille Métropole</w:t>
      </w:r>
    </w:p>
    <w:sectPr>
      <w:pgSz w:w="11900" w:h="16838" w:orient="portrait"/>
      <w:cols w:equalWidth="0" w:num="1">
        <w:col w:w="9799"/>
      </w:cols>
      <w:pgMar w:left="66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abstractNum>
  <w:abstractNum w:abstractNumId="1">
    <w:nsid w:val="580BD78F"/>
    <w:multiLevelType w:val="hybridMultilevel"/>
    <w:lvl w:ilvl="0">
      <w:lvlJc w:val="left"/>
      <w:lvlText w:val="%1."/>
      <w:numFmt w:val="decimal"/>
      <w:start w:val="3"/>
    </w:lvl>
  </w:abstractNum>
  <w:abstractNum w:abstractNumId="2">
    <w:nsid w:val="153EA438"/>
    <w:multiLevelType w:val="hybridMultilevel"/>
    <w:lvl w:ilvl="0">
      <w:lvlJc w:val="left"/>
      <w:lvlText w:val="%1."/>
      <w:numFmt w:val="decimal"/>
      <w:start w:val="4"/>
    </w:lvl>
  </w:abstractNum>
  <w:abstractNum w:abstractNumId="3">
    <w:nsid w:val="3855585C"/>
    <w:multiLevelType w:val="hybridMultilevel"/>
    <w:lvl w:ilvl="0">
      <w:lvlJc w:val="left"/>
      <w:lvlText w:val="%1."/>
      <w:numFmt w:val="decimal"/>
      <w:start w:val="1"/>
    </w:lvl>
  </w:abstractNum>
  <w:abstractNum w:abstractNumId="4">
    <w:nsid w:val="70A64E2A"/>
    <w:multiLevelType w:val="hybridMultilevel"/>
    <w:lvl w:ilvl="0">
      <w:lvlJc w:val="left"/>
      <w:lvlText w:val="1"/>
      <w:numFmt w:val="bullet"/>
      <w:start w:val="1"/>
    </w:lvl>
  </w:abstractNum>
  <w:abstractNum w:abstractNumId="5">
    <w:nsid w:val="6A2342EC"/>
    <w:multiLevelType w:val="hybridMultilevel"/>
    <w:lvl w:ilvl="0">
      <w:lvlJc w:val="left"/>
      <w:lvlText w:val="2"/>
      <w:numFmt w:val="bullet"/>
      <w:start w:val="1"/>
    </w:lvl>
  </w:abstractNum>
  <w:abstractNum w:abstractNumId="6">
    <w:nsid w:val="2A487CB0"/>
    <w:multiLevelType w:val="hybridMultilevel"/>
    <w:lvl w:ilvl="0">
      <w:lvlJc w:val="left"/>
      <w:lvlText w:val="%1."/>
      <w:numFmt w:val="decimal"/>
      <w:start w:val="2"/>
    </w:lvl>
  </w:abstractNum>
  <w:abstractNum w:abstractNumId="7">
    <w:nsid w:val="1D4ED43B"/>
    <w:multiLevelType w:val="hybridMultilevel"/>
    <w:lvl w:ilvl="0">
      <w:lvlJc w:val="left"/>
      <w:lvlText w:val="3"/>
      <w:numFmt w:val="bullet"/>
      <w:start w:val="1"/>
    </w:lvl>
  </w:abstractNum>
  <w:abstractNum w:abstractNumId="8">
    <w:nsid w:val="725A06FB"/>
    <w:multiLevelType w:val="hybridMultilevel"/>
    <w:lvl w:ilvl="0">
      <w:lvlJc w:val="left"/>
      <w:lvlText w:val="4"/>
      <w:numFmt w:val="bullet"/>
      <w:start w:val="1"/>
    </w:lvl>
  </w:abstractNum>
  <w:abstractNum w:abstractNumId="9">
    <w:nsid w:val="2CD89A32"/>
    <w:multiLevelType w:val="hybridMultilevel"/>
    <w:lvl w:ilvl="0">
      <w:lvlJc w:val="left"/>
      <w:lvlText w:val="5"/>
      <w:numFmt w:val="bullet"/>
      <w:start w:val="1"/>
    </w:lvl>
  </w:abstractNum>
  <w:abstractNum w:abstractNumId="10">
    <w:nsid w:val="57E4CCAF"/>
    <w:multiLevelType w:val="hybridMultilevel"/>
    <w:lvl w:ilvl="0">
      <w:lvlJc w:val="left"/>
      <w:lvlText w:val="6"/>
      <w:numFmt w:val="bullet"/>
      <w:start w:val="1"/>
    </w:lvl>
  </w:abstractNum>
  <w:abstractNum w:abstractNumId="11">
    <w:nsid w:val="7A6D8D3C"/>
    <w:multiLevelType w:val="hybridMultilevel"/>
    <w:lvl w:ilvl="0">
      <w:lvlJc w:val="left"/>
      <w:lvlText w:val="&lt;"/>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1."/>
      <w:numFmt w:val="decimal"/>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7"/>
      <w:numFmt w:val="bullet"/>
      <w:start w:val="1"/>
    </w:lvl>
  </w:abstractNum>
  <w:abstractNum w:abstractNumId="16">
    <w:nsid w:val="7644A45C"/>
    <w:multiLevelType w:val="hybridMultilevel"/>
    <w:lvl w:ilvl="0">
      <w:lvlJc w:val="left"/>
      <w:lvlText w:val="8"/>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lvl w:ilvl="1">
      <w:lvlJc w:val="left"/>
      <w:lvlText w:val="%2."/>
      <w:numFmt w:val="decimal"/>
      <w:start w:val="2"/>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9"/>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1"/>
      <w:numFmt w:val="decimal"/>
      <w:start w:val="10"/>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1."/>
      <w:numFmt w:val="decimal"/>
      <w:start w:val="3"/>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1."/>
      <w:numFmt w:val="decimal"/>
      <w:start w:val="2"/>
    </w:lvl>
  </w:abstractNum>
  <w:abstractNum w:abstractNumId="30">
    <w:nsid w:val="23F9C13C"/>
    <w:multiLevelType w:val="hybridMultilevel"/>
    <w:lvl w:ilvl="0">
      <w:lvlJc w:val="left"/>
      <w:lvlText w:val="%1."/>
      <w:numFmt w:val="decimal"/>
      <w:start w:val="3"/>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1."/>
      <w:numFmt w:val="decimal"/>
      <w:start w:val="4"/>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1."/>
      <w:numFmt w:val="decimal"/>
      <w:start w:val="5"/>
    </w:lvl>
  </w:abstractNum>
  <w:abstractNum w:abstractNumId="37">
    <w:nsid w:val="47398C89"/>
    <w:multiLevelType w:val="hybridMultilevel"/>
    <w:lvl w:ilvl="0">
      <w:lvlJc w:val="left"/>
      <w:lvlText w:val="%1."/>
      <w:numFmt w:val="decimal"/>
      <w:start w:val="6"/>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1."/>
      <w:numFmt w:val="decimal"/>
      <w:start w:val="7"/>
    </w:lvl>
  </w:abstractNum>
  <w:abstractNum w:abstractNumId="41">
    <w:nsid w:val="D34B6A8"/>
    <w:multiLevelType w:val="hybridMultilevel"/>
    <w:lvl w:ilvl="0">
      <w:lvlJc w:val="left"/>
      <w:lvlText w:val="%1."/>
      <w:numFmt w:val="decimal"/>
      <w:start w:val="8"/>
    </w:lvl>
  </w:abstractNum>
  <w:abstractNum w:abstractNumId="42">
    <w:nsid w:val="10233C99"/>
    <w:multiLevelType w:val="hybridMultilevel"/>
    <w:lvl w:ilvl="0">
      <w:lvlJc w:val="left"/>
      <w:lvlText w:val="%1."/>
      <w:numFmt w:val="decimal"/>
      <w:start w:val="9"/>
    </w:lvl>
  </w:abstractNum>
  <w:abstractNum w:abstractNumId="43">
    <w:nsid w:val="3F6AB60F"/>
    <w:multiLevelType w:val="hybridMultilevel"/>
    <w:lvl w:ilvl="0">
      <w:lvlJc w:val="left"/>
      <w:lvlText w:val="%1."/>
      <w:numFmt w:val="decimal"/>
      <w:start w:val="10"/>
    </w:lvl>
  </w:abstractNum>
  <w:abstractNum w:abstractNumId="44">
    <w:nsid w:val="61574095"/>
    <w:multiLevelType w:val="hybridMultilevel"/>
    <w:lvl w:ilvl="0">
      <w:lvlJc w:val="left"/>
      <w:lvlText w:val="%1."/>
      <w:numFmt w:val="decimal"/>
      <w:start w:val="11"/>
    </w:lvl>
  </w:abstractNum>
  <w:abstractNum w:abstractNumId="45">
    <w:nsid w:val="7E0C57B1"/>
    <w:multiLevelType w:val="hybridMultilevel"/>
    <w:lvl w:ilvl="0">
      <w:lvlJc w:val="left"/>
      <w:lvlText w:val="%1."/>
      <w:numFmt w:val="decimal"/>
      <w:start w:val="12"/>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1."/>
      <w:numFmt w:val="decimal"/>
      <w:start w:val="13"/>
    </w:lvl>
  </w:abstractNum>
  <w:abstractNum w:abstractNumId="48">
    <w:nsid w:val="310C50B3"/>
    <w:multiLevelType w:val="hybridMultilevel"/>
    <w:lvl w:ilvl="0">
      <w:lvlJc w:val="left"/>
      <w:lvlText w:val="%1."/>
      <w:numFmt w:val="decimal"/>
      <w:start w:val="14"/>
    </w:lvl>
  </w:abstractNum>
  <w:abstractNum w:abstractNumId="49">
    <w:nsid w:val="5FF87E05"/>
    <w:multiLevelType w:val="hybridMultilevel"/>
    <w:lvl w:ilvl="0">
      <w:lvlJc w:val="left"/>
      <w:lvlText w:val="%1."/>
      <w:numFmt w:val="decimal"/>
      <w:start w:val="15"/>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1."/>
      <w:numFmt w:val="decimal"/>
      <w:start w:val="16"/>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1."/>
      <w:numFmt w:val="decimal"/>
      <w:start w:val="17"/>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1."/>
      <w:numFmt w:val="decimal"/>
      <w:start w:val="18"/>
    </w:lvl>
  </w:abstractNum>
  <w:abstractNum w:abstractNumId="63">
    <w:nsid w:val="6B94764"/>
    <w:multiLevelType w:val="hybridMultilevel"/>
    <w:lvl w:ilvl="0">
      <w:lvlJc w:val="left"/>
      <w:lvlText w:val="%1."/>
      <w:numFmt w:val="decimal"/>
      <w:start w:val="19"/>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1."/>
      <w:numFmt w:val="decimal"/>
      <w:start w:val="21"/>
    </w:lvl>
  </w:abstractNum>
  <w:abstractNum w:abstractNumId="66">
    <w:nsid w:val="1EBA5D23"/>
    <w:multiLevelType w:val="hybridMultilevel"/>
    <w:lvl w:ilvl="0">
      <w:lvlJc w:val="left"/>
      <w:lvlText w:val="%1."/>
      <w:numFmt w:val="decimal"/>
      <w:start w:val="22"/>
    </w:lvl>
  </w:abstractNum>
  <w:abstractNum w:abstractNumId="67">
    <w:nsid w:val="661E3F1E"/>
    <w:multiLevelType w:val="hybridMultilevel"/>
    <w:lvl w:ilvl="0">
      <w:lvlJc w:val="left"/>
      <w:lvlText w:val="%1."/>
      <w:numFmt w:val="decimal"/>
      <w:start w:val="23"/>
    </w:lvl>
  </w:abstractNum>
  <w:abstractNum w:abstractNumId="68">
    <w:nsid w:val="5DC79EA8"/>
    <w:multiLevelType w:val="hybridMultilevel"/>
    <w:lvl w:ilvl="0">
      <w:lvlJc w:val="left"/>
      <w:lvlText w:val="%1."/>
      <w:numFmt w:val="decimal"/>
      <w:start w:val="24"/>
    </w:lvl>
  </w:abstractNum>
  <w:abstractNum w:abstractNumId="69">
    <w:nsid w:val="540A471C"/>
    <w:multiLevelType w:val="hybridMultilevel"/>
    <w:lvl w:ilvl="0">
      <w:lvlJc w:val="left"/>
      <w:lvlText w:val="•"/>
      <w:numFmt w:val="bullet"/>
      <w:start w:val="1"/>
    </w:lvl>
    <w:lvl w:ilvl="1">
      <w:lvlJc w:val="left"/>
      <w:lvlText w:val="◦"/>
      <w:numFmt w:val="bullet"/>
      <w:start w:val="1"/>
    </w:lvl>
  </w:abstractNum>
  <w:abstractNum w:abstractNumId="70">
    <w:nsid w:val="7BD3EE7B"/>
    <w:multiLevelType w:val="hybridMultilevel"/>
    <w:lvl w:ilvl="0">
      <w:lvlJc w:val="left"/>
      <w:lvlText w:val="•"/>
      <w:numFmt w:val="bullet"/>
      <w:start w:val="1"/>
    </w:lvl>
    <w:lvl w:ilvl="1">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lvl w:ilvl="1">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1."/>
      <w:numFmt w:val="decimal"/>
      <w:start w:val="25"/>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jpeg"/><Relationship Id="rId529" Type="http://schemas.openxmlformats.org/officeDocument/2006/relationships/image" Target="media/image522.jpe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jpeg"/><Relationship Id="rId534" Type="http://schemas.openxmlformats.org/officeDocument/2006/relationships/image" Target="media/image527.jpeg"/><Relationship Id="rId535" Type="http://schemas.openxmlformats.org/officeDocument/2006/relationships/image" Target="media/image528.jpeg"/><Relationship Id="rId536" Type="http://schemas.openxmlformats.org/officeDocument/2006/relationships/image" Target="media/image529.jpeg"/><Relationship Id="rId537" Type="http://schemas.openxmlformats.org/officeDocument/2006/relationships/image" Target="media/image530.jpeg"/><Relationship Id="rId538" Type="http://schemas.openxmlformats.org/officeDocument/2006/relationships/image" Target="media/image531.jpeg"/><Relationship Id="rId539" Type="http://schemas.openxmlformats.org/officeDocument/2006/relationships/image" Target="media/image532.jpeg"/><Relationship Id="rId540" Type="http://schemas.openxmlformats.org/officeDocument/2006/relationships/image" Target="media/image533.jpeg"/><Relationship Id="rId541" Type="http://schemas.openxmlformats.org/officeDocument/2006/relationships/image" Target="media/image534.jpeg"/><Relationship Id="rId542" Type="http://schemas.openxmlformats.org/officeDocument/2006/relationships/image" Target="media/image535.jpeg"/><Relationship Id="rId543" Type="http://schemas.openxmlformats.org/officeDocument/2006/relationships/image" Target="media/image536.png"/><Relationship Id="rId544" Type="http://schemas.openxmlformats.org/officeDocument/2006/relationships/image" Target="media/image537.jpe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jpe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jpe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2025-09-22T15:23:09Z</dcterms:created>
  <dcterms:modified xsi:type="dcterms:W3CDTF">2025-09-22T15:23:09Z</dcterms:modified>
</cp:coreProperties>
</file>