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188595</wp:posOffset>
            </wp:positionV>
            <wp:extent cx="7454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35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FORM 25</w:t>
      </w:r>
    </w:p>
    <w:p>
      <w:pPr>
        <w:spacing w:after="0" w:line="232"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NOTIFICATION OF REMOVAL FROM LISTING AND/OR</w:t>
      </w:r>
    </w:p>
    <w:p>
      <w:pPr>
        <w:spacing w:after="0" w:line="31"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REGISTRATION UNDER SECTION 12(b) OF THE</w:t>
      </w:r>
    </w:p>
    <w:p>
      <w:pPr>
        <w:spacing w:after="0" w:line="9"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Commission File Number 001-38844</w:t>
      </w:r>
    </w:p>
    <w:p>
      <w:pPr>
        <w:spacing w:after="0" w:line="2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GENFIT S.A.</w:t>
      </w:r>
    </w:p>
    <w:p>
      <w:pPr>
        <w:spacing w:after="0" w:line="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6"/>
          <w:szCs w:val="16"/>
          <w:b w:val="1"/>
          <w:bCs w:val="1"/>
          <w:color w:val="auto"/>
        </w:rPr>
        <w:t>Exact name of Issuer as specified in its charter, and name of Exchange where security is listed and/or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348615</wp:posOffset>
            </wp:positionV>
            <wp:extent cx="7454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tbl>
      <w:tblPr>
        <w:tblLayout w:type="fixed"/>
        <w:tblInd w:w="1440" w:type="dxa"/>
        <w:tblCellMar>
          <w:top w:w="0" w:type="dxa"/>
          <w:left w:w="0" w:type="dxa"/>
          <w:bottom w:w="0" w:type="dxa"/>
          <w:right w:w="0" w:type="dxa"/>
        </w:tblCellMar>
      </w:tblPr>
      <w:tr>
        <w:trPr>
          <w:trHeight w:val="236"/>
        </w:trPr>
        <w:tc>
          <w:tcPr>
            <w:tcW w:w="4380" w:type="dxa"/>
            <w:vAlign w:val="bottom"/>
          </w:tcPr>
          <w:p>
            <w:pPr>
              <w:jc w:val="center"/>
              <w:ind w:right="1522"/>
              <w:spacing w:after="0"/>
              <w:rPr>
                <w:sz w:val="20"/>
                <w:szCs w:val="20"/>
                <w:color w:val="auto"/>
              </w:rPr>
            </w:pPr>
            <w:r>
              <w:rPr>
                <w:rFonts w:ascii="Times New Roman" w:cs="Times New Roman" w:eastAsia="Times New Roman" w:hAnsi="Times New Roman"/>
                <w:sz w:val="18"/>
                <w:szCs w:val="18"/>
                <w:b w:val="1"/>
                <w:bCs w:val="1"/>
                <w:color w:val="auto"/>
                <w:w w:val="99"/>
              </w:rPr>
              <w:t>France</w:t>
            </w:r>
          </w:p>
        </w:tc>
        <w:tc>
          <w:tcPr>
            <w:tcW w:w="3480" w:type="dxa"/>
            <w:vAlign w:val="bottom"/>
          </w:tcPr>
          <w:p>
            <w:pPr>
              <w:jc w:val="center"/>
              <w:ind w:left="1528"/>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42"/>
        </w:trPr>
        <w:tc>
          <w:tcPr>
            <w:tcW w:w="4380" w:type="dxa"/>
            <w:vAlign w:val="bottom"/>
          </w:tcPr>
          <w:p>
            <w:pPr>
              <w:jc w:val="center"/>
              <w:ind w:right="1522"/>
              <w:spacing w:after="0"/>
              <w:rPr>
                <w:sz w:val="20"/>
                <w:szCs w:val="20"/>
                <w:color w:val="auto"/>
              </w:rPr>
            </w:pPr>
            <w:r>
              <w:rPr>
                <w:rFonts w:ascii="Times New Roman" w:cs="Times New Roman" w:eastAsia="Times New Roman" w:hAnsi="Times New Roman"/>
                <w:sz w:val="11"/>
                <w:szCs w:val="11"/>
                <w:b w:val="1"/>
                <w:bCs w:val="1"/>
                <w:color w:val="auto"/>
                <w:w w:val="97"/>
              </w:rPr>
              <w:t>(State or other jurisdiction of incorporation or organization)</w:t>
            </w:r>
          </w:p>
        </w:tc>
        <w:tc>
          <w:tcPr>
            <w:tcW w:w="3480" w:type="dxa"/>
            <w:vAlign w:val="bottom"/>
          </w:tcPr>
          <w:p>
            <w:pPr>
              <w:jc w:val="center"/>
              <w:ind w:left="1528"/>
              <w:spacing w:after="0"/>
              <w:rPr>
                <w:sz w:val="20"/>
                <w:szCs w:val="20"/>
                <w:color w:val="auto"/>
              </w:rPr>
            </w:pPr>
            <w:r>
              <w:rPr>
                <w:rFonts w:ascii="Times New Roman" w:cs="Times New Roman" w:eastAsia="Times New Roman" w:hAnsi="Times New Roman"/>
                <w:sz w:val="11"/>
                <w:szCs w:val="11"/>
                <w:b w:val="1"/>
                <w:bCs w:val="1"/>
                <w:color w:val="auto"/>
                <w:w w:val="98"/>
              </w:rPr>
              <w:t>(I.R.S. Employer Identification Number)</w:t>
            </w:r>
          </w:p>
        </w:tc>
      </w:tr>
      <w:tr>
        <w:trPr>
          <w:trHeight w:val="378"/>
        </w:trPr>
        <w:tc>
          <w:tcPr>
            <w:tcW w:w="4380" w:type="dxa"/>
            <w:vAlign w:val="bottom"/>
          </w:tcPr>
          <w:p>
            <w:pPr>
              <w:jc w:val="center"/>
              <w:ind w:right="1542"/>
              <w:spacing w:after="0"/>
              <w:rPr>
                <w:sz w:val="20"/>
                <w:szCs w:val="20"/>
                <w:color w:val="auto"/>
              </w:rPr>
            </w:pPr>
            <w:r>
              <w:rPr>
                <w:rFonts w:ascii="Times New Roman" w:cs="Times New Roman" w:eastAsia="Times New Roman" w:hAnsi="Times New Roman"/>
                <w:sz w:val="18"/>
                <w:szCs w:val="18"/>
                <w:b w:val="1"/>
                <w:bCs w:val="1"/>
                <w:color w:val="auto"/>
              </w:rPr>
              <w:t>Parc Eurasanté</w:t>
            </w:r>
          </w:p>
        </w:tc>
        <w:tc>
          <w:tcPr>
            <w:tcW w:w="3480" w:type="dxa"/>
            <w:vAlign w:val="bottom"/>
          </w:tcPr>
          <w:p>
            <w:pPr>
              <w:spacing w:after="0"/>
              <w:rPr>
                <w:sz w:val="24"/>
                <w:szCs w:val="24"/>
                <w:color w:val="auto"/>
              </w:rPr>
            </w:pPr>
          </w:p>
        </w:tc>
      </w:tr>
      <w:tr>
        <w:trPr>
          <w:trHeight w:val="230"/>
        </w:trPr>
        <w:tc>
          <w:tcPr>
            <w:tcW w:w="4380" w:type="dxa"/>
            <w:vAlign w:val="bottom"/>
          </w:tcPr>
          <w:p>
            <w:pPr>
              <w:jc w:val="center"/>
              <w:ind w:right="1542"/>
              <w:spacing w:after="0"/>
              <w:rPr>
                <w:sz w:val="20"/>
                <w:szCs w:val="20"/>
                <w:color w:val="auto"/>
              </w:rPr>
            </w:pPr>
            <w:r>
              <w:rPr>
                <w:rFonts w:ascii="Times New Roman" w:cs="Times New Roman" w:eastAsia="Times New Roman" w:hAnsi="Times New Roman"/>
                <w:sz w:val="18"/>
                <w:szCs w:val="18"/>
                <w:b w:val="1"/>
                <w:bCs w:val="1"/>
                <w:color w:val="auto"/>
                <w:w w:val="99"/>
              </w:rPr>
              <w:t>885, avenue Eugène Avinée</w:t>
            </w:r>
          </w:p>
        </w:tc>
        <w:tc>
          <w:tcPr>
            <w:tcW w:w="3480" w:type="dxa"/>
            <w:vAlign w:val="bottom"/>
          </w:tcPr>
          <w:p>
            <w:pPr>
              <w:spacing w:after="0"/>
              <w:rPr>
                <w:sz w:val="19"/>
                <w:szCs w:val="19"/>
                <w:color w:val="auto"/>
              </w:rPr>
            </w:pPr>
          </w:p>
        </w:tc>
      </w:tr>
      <w:tr>
        <w:trPr>
          <w:trHeight w:val="290"/>
        </w:trPr>
        <w:tc>
          <w:tcPr>
            <w:tcW w:w="4380" w:type="dxa"/>
            <w:vAlign w:val="bottom"/>
          </w:tcPr>
          <w:p>
            <w:pPr>
              <w:jc w:val="center"/>
              <w:ind w:right="1542"/>
              <w:spacing w:after="0"/>
              <w:rPr>
                <w:sz w:val="20"/>
                <w:szCs w:val="20"/>
                <w:color w:val="auto"/>
              </w:rPr>
            </w:pPr>
            <w:r>
              <w:rPr>
                <w:rFonts w:ascii="Times New Roman" w:cs="Times New Roman" w:eastAsia="Times New Roman" w:hAnsi="Times New Roman"/>
                <w:sz w:val="18"/>
                <w:szCs w:val="18"/>
                <w:b w:val="1"/>
                <w:bCs w:val="1"/>
                <w:color w:val="auto"/>
                <w:w w:val="99"/>
              </w:rPr>
              <w:t>Loos, France</w:t>
            </w:r>
          </w:p>
        </w:tc>
        <w:tc>
          <w:tcPr>
            <w:tcW w:w="3480" w:type="dxa"/>
            <w:vAlign w:val="bottom"/>
          </w:tcPr>
          <w:p>
            <w:pPr>
              <w:jc w:val="center"/>
              <w:ind w:left="1528"/>
              <w:spacing w:after="0"/>
              <w:rPr>
                <w:sz w:val="20"/>
                <w:szCs w:val="20"/>
                <w:color w:val="auto"/>
              </w:rPr>
            </w:pPr>
            <w:r>
              <w:rPr>
                <w:rFonts w:ascii="Times New Roman" w:cs="Times New Roman" w:eastAsia="Times New Roman" w:hAnsi="Times New Roman"/>
                <w:sz w:val="18"/>
                <w:szCs w:val="18"/>
                <w:b w:val="1"/>
                <w:bCs w:val="1"/>
                <w:color w:val="auto"/>
                <w:w w:val="97"/>
              </w:rPr>
              <w:t>59120</w:t>
            </w:r>
          </w:p>
        </w:tc>
      </w:tr>
      <w:tr>
        <w:trPr>
          <w:trHeight w:val="142"/>
        </w:trPr>
        <w:tc>
          <w:tcPr>
            <w:tcW w:w="4380" w:type="dxa"/>
            <w:vAlign w:val="bottom"/>
          </w:tcPr>
          <w:p>
            <w:pPr>
              <w:jc w:val="center"/>
              <w:ind w:right="1542"/>
              <w:spacing w:after="0"/>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3480" w:type="dxa"/>
            <w:vAlign w:val="bottom"/>
          </w:tcPr>
          <w:p>
            <w:pPr>
              <w:jc w:val="center"/>
              <w:ind w:left="1528"/>
              <w:spacing w:after="0"/>
              <w:rPr>
                <w:sz w:val="20"/>
                <w:szCs w:val="20"/>
                <w:color w:val="auto"/>
              </w:rPr>
            </w:pPr>
            <w:r>
              <w:rPr>
                <w:rFonts w:ascii="Times New Roman" w:cs="Times New Roman" w:eastAsia="Times New Roman" w:hAnsi="Times New Roman"/>
                <w:sz w:val="11"/>
                <w:szCs w:val="11"/>
                <w:b w:val="1"/>
                <w:bCs w:val="1"/>
                <w:color w:val="auto"/>
                <w:w w:val="99"/>
              </w:rPr>
              <w:t>(Zip code)</w:t>
            </w:r>
          </w:p>
        </w:tc>
      </w:tr>
    </w:tbl>
    <w:p>
      <w:pPr>
        <w:spacing w:after="0" w:line="3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American Depositary Shares, each representing one ordinary share, nominal value €0.25 per share</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class of securities)</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Please place an X in the box to designate the rule provision relied upon to strike the class of securities from listing and registration:</w:t>
      </w:r>
    </w:p>
    <w:p>
      <w:pPr>
        <w:spacing w:after="0" w:line="266"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240.12d2-2(a)(1)</w:t>
      </w:r>
    </w:p>
    <w:p>
      <w:pPr>
        <w:spacing w:after="0" w:line="360"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240.12d2-2(a)(2)</w:t>
      </w:r>
    </w:p>
    <w:p>
      <w:pPr>
        <w:spacing w:after="0" w:line="360"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240.12d2-2(a)(3)</w:t>
      </w:r>
    </w:p>
    <w:p>
      <w:pPr>
        <w:spacing w:after="0" w:line="346"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240.12d2-2(a)(4)</w:t>
      </w:r>
    </w:p>
    <w:p>
      <w:pPr>
        <w:spacing w:after="0" w:line="360" w:lineRule="exact"/>
        <w:rPr>
          <w:rFonts w:ascii="MS PGothic" w:cs="MS PGothic" w:eastAsia="MS PGothic" w:hAnsi="MS PGothic"/>
          <w:sz w:val="18"/>
          <w:szCs w:val="18"/>
          <w:color w:val="auto"/>
        </w:rPr>
      </w:pPr>
    </w:p>
    <w:p>
      <w:pPr>
        <w:ind w:left="400" w:hanging="374"/>
        <w:spacing w:after="0" w:line="237" w:lineRule="auto"/>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17 CFR 240.12d2-2(b), the Exchange has complied with its rules to strike the class of securities from listing and/or withdraw registration on the Exchange.</w:t>
      </w:r>
    </w:p>
    <w:p>
      <w:pPr>
        <w:spacing w:after="0" w:line="347" w:lineRule="exact"/>
        <w:rPr>
          <w:sz w:val="24"/>
          <w:szCs w:val="24"/>
          <w:color w:val="auto"/>
        </w:rPr>
      </w:pPr>
    </w:p>
    <w:p>
      <w:pPr>
        <w:ind w:left="400" w:right="20" w:hanging="374"/>
        <w:spacing w:after="0" w:line="237" w:lineRule="auto"/>
        <w:tabs>
          <w:tab w:leader="none" w:pos="40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Pursuant to 17 CFR 240.12d2-2(c), the Issuer has complied with the rules of the Exchange and the requirements of 17 CFR 240.12d2-2(c) governing the voluntary withdrawal of the class of securities from listing and registration on the Exchange.</w:t>
      </w:r>
    </w:p>
    <w:p>
      <w:pPr>
        <w:sectPr>
          <w:pgSz w:w="11900" w:h="16838" w:orient="portrait"/>
          <w:cols w:equalWidth="0" w:num="1">
            <w:col w:w="11140"/>
          </w:cols>
          <w:pgMar w:left="320" w:top="1440" w:right="439" w:bottom="1440" w:gutter="0" w:footer="0" w:header="0"/>
        </w:sectPr>
      </w:pPr>
    </w:p>
    <w:bookmarkStart w:id="1" w:name="page2"/>
    <w:bookmarkEnd w:id="1"/>
    <w:p>
      <w:pPr>
        <w:spacing w:after="0" w:line="1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GENFIT S.A. certifies that it has reasonable grounds to believe that it meets all of the requirements for filing the Form 25 and has caused this notification to be signed on its behalf by the undersigned duly authorized person.</w:t>
      </w: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3520" w:type="dxa"/>
            <w:vAlign w:val="bottom"/>
          </w:tcPr>
          <w:p>
            <w:pPr>
              <w:ind w:left="2420"/>
              <w:spacing w:after="0"/>
              <w:rPr>
                <w:sz w:val="20"/>
                <w:szCs w:val="20"/>
                <w:color w:val="auto"/>
              </w:rPr>
            </w:pPr>
            <w:r>
              <w:rPr>
                <w:rFonts w:ascii="Times New Roman" w:cs="Times New Roman" w:eastAsia="Times New Roman" w:hAnsi="Times New Roman"/>
                <w:sz w:val="18"/>
                <w:szCs w:val="18"/>
                <w:b w:val="1"/>
                <w:bCs w:val="1"/>
                <w:color w:val="auto"/>
              </w:rPr>
              <w:t>GENFIT S.A.</w:t>
            </w: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2025</w:t>
            </w:r>
          </w:p>
        </w:tc>
        <w:tc>
          <w:tcPr>
            <w:tcW w:w="352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By:</w:t>
            </w:r>
          </w:p>
        </w:tc>
        <w:tc>
          <w:tcPr>
            <w:tcW w:w="3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 Pascal PRIGENT</w:t>
            </w:r>
          </w:p>
        </w:tc>
        <w:tc>
          <w:tcPr>
            <w:tcW w:w="0" w:type="dxa"/>
            <w:vAlign w:val="bottom"/>
          </w:tcPr>
          <w:p>
            <w:pPr>
              <w:spacing w:after="0"/>
              <w:rPr>
                <w:sz w:val="1"/>
                <w:szCs w:val="1"/>
                <w:color w:val="auto"/>
              </w:rPr>
            </w:pPr>
          </w:p>
        </w:tc>
      </w:tr>
      <w:tr>
        <w:trPr>
          <w:trHeight w:val="94"/>
        </w:trPr>
        <w:tc>
          <w:tcPr>
            <w:tcW w:w="428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280" w:type="dxa"/>
            <w:vAlign w:val="bottom"/>
          </w:tcPr>
          <w:p>
            <w:pPr>
              <w:spacing w:after="0"/>
              <w:rPr>
                <w:sz w:val="8"/>
                <w:szCs w:val="8"/>
                <w:color w:val="auto"/>
              </w:rPr>
            </w:pPr>
          </w:p>
        </w:tc>
        <w:tc>
          <w:tcPr>
            <w:tcW w:w="3520" w:type="dxa"/>
            <w:vAlign w:val="bottom"/>
            <w:vMerge w:val="restart"/>
          </w:tcPr>
          <w:p>
            <w:pPr>
              <w:ind w:left="2420"/>
              <w:spacing w:after="0"/>
              <w:rPr>
                <w:sz w:val="20"/>
                <w:szCs w:val="20"/>
                <w:color w:val="auto"/>
              </w:rPr>
            </w:pPr>
            <w:r>
              <w:rPr>
                <w:rFonts w:ascii="Times New Roman" w:cs="Times New Roman" w:eastAsia="Times New Roman" w:hAnsi="Times New Roman"/>
                <w:sz w:val="18"/>
                <w:szCs w:val="18"/>
                <w:color w:val="auto"/>
              </w:rPr>
              <w:t>Name:</w:t>
            </w:r>
          </w:p>
        </w:tc>
        <w:tc>
          <w:tcPr>
            <w:tcW w:w="3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4280" w:type="dxa"/>
            <w:vAlign w:val="bottom"/>
          </w:tcPr>
          <w:p>
            <w:pPr>
              <w:spacing w:after="0"/>
              <w:rPr>
                <w:sz w:val="18"/>
                <w:szCs w:val="18"/>
                <w:color w:val="auto"/>
              </w:rPr>
            </w:pPr>
          </w:p>
        </w:tc>
        <w:tc>
          <w:tcPr>
            <w:tcW w:w="3520" w:type="dxa"/>
            <w:vAlign w:val="bottom"/>
            <w:vMerge w:val="continue"/>
          </w:tcPr>
          <w:p>
            <w:pPr>
              <w:spacing w:after="0"/>
              <w:rPr>
                <w:sz w:val="18"/>
                <w:szCs w:val="18"/>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Pascal PRIGENT</w:t>
            </w: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p>
        </w:tc>
        <w:tc>
          <w:tcPr>
            <w:tcW w:w="352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Title:</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x"/>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2025-11-10T05:29:08Z</dcterms:created>
  <dcterms:modified xsi:type="dcterms:W3CDTF">2025-11-10T05:29:08Z</dcterms:modified>
</cp:coreProperties>
</file>